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-1</w:t>
      </w:r>
    </w:p>
    <w:p>
      <w:pPr>
        <w:snapToGrid w:val="0"/>
        <w:spacing w:line="312" w:lineRule="auto"/>
        <w:ind w:firstLine="260" w:firstLineChars="200"/>
        <w:rPr>
          <w:rFonts w:ascii="仿宋_GB2312" w:hAnsi="仿宋_GB2312" w:eastAsia="仿宋_GB2312" w:cs="仿宋_GB2312"/>
          <w:sz w:val="13"/>
          <w:szCs w:val="13"/>
        </w:rPr>
      </w:pPr>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77"/>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124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641" w:type="dxa"/>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景迈山世界级旅游度假区项目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641" w:type="dxa"/>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641" w:type="dxa"/>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澜沧县惠民镇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项目简述</w:t>
            </w:r>
          </w:p>
        </w:tc>
        <w:tc>
          <w:tcPr>
            <w:tcW w:w="664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本项目以景迈山申报世界历史文化遗产为抓手，以传承千年布朗族、傣族的民族文化为支撑，联动区域内千年古茶、生物奇观、民族村寨、山地温泉、度假酒店资源，完善游客服务、打造特色街区，再结合惠民镇目前开发现状，打造市集文化体验、康体疗养、休闲度假、遗产观光等多种功能为一体的国家生态旅游示范区。在惠民镇新建游客集散中心、高品质酒店、特色商品街区等服务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24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项目建设</w:t>
            </w: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项目用地</w:t>
            </w:r>
          </w:p>
        </w:tc>
        <w:tc>
          <w:tcPr>
            <w:tcW w:w="664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规划区距离澜沧县城35KM、普洱市区105KM。219国道发展轴与252省道发展轴在规划区交汇，区位优势明显。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建设周期</w:t>
            </w:r>
          </w:p>
        </w:tc>
        <w:tc>
          <w:tcPr>
            <w:tcW w:w="664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2021年-2035年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投资估算</w:t>
            </w:r>
          </w:p>
        </w:tc>
        <w:tc>
          <w:tcPr>
            <w:tcW w:w="664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建设内容</w:t>
            </w:r>
          </w:p>
        </w:tc>
        <w:tc>
          <w:tcPr>
            <w:tcW w:w="6641"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项目定位：中国普洱茶文化体验基地；国家生态旅游示范区；</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sz w:val="24"/>
                <w:szCs w:val="24"/>
                <w:lang w:bidi="ar"/>
              </w:rPr>
            </w:pPr>
            <w:r>
              <w:rPr>
                <w:rFonts w:hint="eastAsia" w:ascii="仿宋_GB2312" w:hAnsi="仿宋_GB2312" w:eastAsia="仿宋_GB2312" w:cs="仿宋_GB2312"/>
                <w:b w:val="0"/>
                <w:bCs/>
                <w:kern w:val="0"/>
                <w:sz w:val="24"/>
                <w:szCs w:val="24"/>
              </w:rPr>
              <w:t>功能</w:t>
            </w:r>
            <w:r>
              <w:rPr>
                <w:rFonts w:hint="eastAsia" w:ascii="仿宋_GB2312" w:hAnsi="仿宋_GB2312" w:eastAsia="仿宋_GB2312" w:cs="仿宋_GB2312"/>
                <w:b w:val="0"/>
                <w:bCs/>
                <w:sz w:val="24"/>
                <w:szCs w:val="24"/>
                <w:lang w:bidi="ar"/>
              </w:rPr>
              <w:t>区划：文化体验、康体疗养、休闲度假、遗产观光；</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建设内容：旅游特色小镇等内容。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42" w:type="dxa"/>
            <w:vMerge w:val="restart"/>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17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生产成本</w:t>
            </w:r>
          </w:p>
        </w:tc>
        <w:tc>
          <w:tcPr>
            <w:tcW w:w="6641"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项目所需水、电可就地取材，供应有保障。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242" w:type="dxa"/>
            <w:vMerge w:val="continue"/>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p>
        </w:tc>
        <w:tc>
          <w:tcPr>
            <w:tcW w:w="117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原料成本</w:t>
            </w:r>
          </w:p>
        </w:tc>
        <w:tc>
          <w:tcPr>
            <w:tcW w:w="6641" w:type="dxa"/>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项目建设所需石料可就地取材，水泥、砂和钢筋等均可在本县采购。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7818"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本项目作为一个集康养、旅游、商业等行业于一体的综合型开发项目，招商主要面向国内具有开发运营能力的实力企业。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7818"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eastAsia="zh-CN"/>
              </w:rPr>
              <w:t>合</w:t>
            </w:r>
            <w:r>
              <w:rPr>
                <w:rFonts w:hint="eastAsia" w:ascii="仿宋_GB2312" w:hAnsi="仿宋_GB2312" w:eastAsia="仿宋_GB2312" w:cs="仿宋_GB2312"/>
                <w:b w:val="0"/>
                <w:bCs/>
                <w:kern w:val="0"/>
                <w:sz w:val="24"/>
                <w:szCs w:val="24"/>
              </w:rPr>
              <w:t>资、合作、独资或其它方式。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1242"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7818"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联系单位：普洱市澜沧县文化和旅游局</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sz w:val="24"/>
                <w:szCs w:val="24"/>
                <w:lang w:bidi="ar"/>
              </w:rPr>
            </w:pPr>
            <w:r>
              <w:rPr>
                <w:rFonts w:hint="eastAsia" w:ascii="仿宋_GB2312" w:hAnsi="仿宋_GB2312" w:eastAsia="仿宋_GB2312" w:cs="仿宋_GB2312"/>
                <w:b w:val="0"/>
                <w:bCs/>
                <w:kern w:val="0"/>
                <w:sz w:val="24"/>
                <w:szCs w:val="24"/>
              </w:rPr>
              <w:t>项目联系人：鲍红霞</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联系电话：15906992063</w:t>
            </w:r>
          </w:p>
        </w:tc>
      </w:tr>
    </w:tbl>
    <w:p>
      <w:pPr>
        <w:jc w:val="right"/>
        <w:rPr>
          <w:rFonts w:hint="eastAsia" w:ascii="方正小标宋简体" w:hAnsi="方正小标宋简体" w:eastAsia="方正小标宋简体" w:cs="方正小标宋简体"/>
          <w:sz w:val="44"/>
          <w:szCs w:val="44"/>
          <w:lang w:eastAsia="zh-CN"/>
        </w:rPr>
      </w:pPr>
    </w:p>
    <w:p>
      <w:pPr>
        <w:jc w:val="right"/>
        <w:rPr>
          <w:rFonts w:hint="eastAsia" w:ascii="方正小标宋简体" w:hAnsi="方正小标宋简体" w:eastAsia="方正小标宋简体" w:cs="方正小标宋简体"/>
          <w:sz w:val="44"/>
          <w:szCs w:val="44"/>
          <w:lang w:eastAsia="zh-CN"/>
        </w:rPr>
      </w:pPr>
    </w:p>
    <w:p>
      <w:pPr>
        <w:jc w:val="right"/>
        <w:rPr>
          <w:rFonts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-2</w:t>
      </w:r>
    </w:p>
    <w:tbl>
      <w:tblPr>
        <w:tblStyle w:val="20"/>
        <w:tblpPr w:leftFromText="180" w:rightFromText="180" w:vertAnchor="text" w:horzAnchor="page" w:tblpXSpec="center" w:tblpY="243"/>
        <w:tblOverlap w:val="never"/>
        <w:tblW w:w="9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122"/>
        <w:gridCol w:w="1154"/>
        <w:gridCol w:w="6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4" w:hRule="atLeast"/>
          <w:jc w:val="center"/>
        </w:trPr>
        <w:tc>
          <w:tcPr>
            <w:tcW w:w="1122" w:type="dxa"/>
            <w:vMerge w:val="restart"/>
            <w:tcBorders>
              <w:tl2br w:val="nil"/>
              <w:tr2bl w:val="nil"/>
            </w:tcBorders>
            <w:vAlign w:val="center"/>
          </w:tcPr>
          <w:p>
            <w:pPr>
              <w:adjustRightInd w:val="0"/>
              <w:snapToGrid w:val="0"/>
              <w:spacing w:line="228" w:lineRule="auto"/>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项目综述</w:t>
            </w: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p>
        </w:tc>
        <w:tc>
          <w:tcPr>
            <w:tcW w:w="6890" w:type="dxa"/>
            <w:tcBorders>
              <w:tl2br w:val="nil"/>
              <w:tr2bl w:val="nil"/>
            </w:tcBorders>
            <w:vAlign w:val="center"/>
          </w:tcPr>
          <w:p>
            <w:pPr>
              <w:adjustRightInd w:val="0"/>
              <w:snapToGrid w:val="0"/>
              <w:spacing w:line="288"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澜湄第一港旅游度假区项目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90" w:hRule="atLeast"/>
          <w:jc w:val="center"/>
        </w:trPr>
        <w:tc>
          <w:tcPr>
            <w:tcW w:w="1122" w:type="dxa"/>
            <w:vMerge w:val="continue"/>
            <w:tcBorders>
              <w:tl2br w:val="nil"/>
              <w:tr2bl w:val="nil"/>
            </w:tcBorders>
            <w:vAlign w:val="center"/>
          </w:tcPr>
          <w:p>
            <w:pPr>
              <w:adjustRightInd w:val="0"/>
              <w:snapToGrid w:val="0"/>
              <w:spacing w:line="228" w:lineRule="auto"/>
              <w:jc w:val="left"/>
              <w:rPr>
                <w:rFonts w:hint="eastAsia" w:ascii="仿宋_GB2312" w:hAnsi="仿宋_GB2312" w:eastAsia="仿宋_GB2312" w:cs="仿宋_GB2312"/>
                <w:b w:val="0"/>
                <w:bCs w:val="0"/>
                <w:kern w:val="0"/>
                <w:sz w:val="24"/>
                <w:szCs w:val="24"/>
              </w:rPr>
            </w:pP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所属产业</w:t>
            </w:r>
          </w:p>
        </w:tc>
        <w:tc>
          <w:tcPr>
            <w:tcW w:w="6890" w:type="dxa"/>
            <w:tcBorders>
              <w:tl2br w:val="nil"/>
              <w:tr2bl w:val="nil"/>
            </w:tcBorders>
            <w:vAlign w:val="center"/>
          </w:tcPr>
          <w:p>
            <w:pPr>
              <w:adjustRightInd w:val="0"/>
              <w:snapToGrid w:val="0"/>
              <w:spacing w:line="288"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文化旅游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83" w:hRule="atLeast"/>
          <w:jc w:val="center"/>
        </w:trPr>
        <w:tc>
          <w:tcPr>
            <w:tcW w:w="1122" w:type="dxa"/>
            <w:vMerge w:val="continue"/>
            <w:tcBorders>
              <w:tl2br w:val="nil"/>
              <w:tr2bl w:val="nil"/>
            </w:tcBorders>
            <w:vAlign w:val="center"/>
          </w:tcPr>
          <w:p>
            <w:pPr>
              <w:adjustRightInd w:val="0"/>
              <w:snapToGrid w:val="0"/>
              <w:spacing w:line="228" w:lineRule="auto"/>
              <w:jc w:val="left"/>
              <w:rPr>
                <w:rFonts w:hint="eastAsia" w:ascii="仿宋_GB2312" w:hAnsi="仿宋_GB2312" w:eastAsia="仿宋_GB2312" w:cs="仿宋_GB2312"/>
                <w:b w:val="0"/>
                <w:bCs w:val="0"/>
                <w:kern w:val="0"/>
                <w:sz w:val="24"/>
                <w:szCs w:val="24"/>
              </w:rPr>
            </w:pP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建设地点</w:t>
            </w:r>
          </w:p>
        </w:tc>
        <w:tc>
          <w:tcPr>
            <w:tcW w:w="6890" w:type="dxa"/>
            <w:tcBorders>
              <w:tl2br w:val="nil"/>
              <w:tr2bl w:val="nil"/>
            </w:tcBorders>
            <w:vAlign w:val="center"/>
          </w:tcPr>
          <w:p>
            <w:pPr>
              <w:adjustRightInd w:val="0"/>
              <w:snapToGrid w:val="0"/>
              <w:spacing w:line="288" w:lineRule="auto"/>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思茅港至橄榄坝村及周边靠思茅区侧地块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981" w:hRule="atLeast"/>
          <w:jc w:val="center"/>
        </w:trPr>
        <w:tc>
          <w:tcPr>
            <w:tcW w:w="1122" w:type="dxa"/>
            <w:vMerge w:val="continue"/>
            <w:tcBorders>
              <w:tl2br w:val="nil"/>
              <w:tr2bl w:val="nil"/>
            </w:tcBorders>
            <w:vAlign w:val="center"/>
          </w:tcPr>
          <w:p>
            <w:pPr>
              <w:adjustRightInd w:val="0"/>
              <w:snapToGrid w:val="0"/>
              <w:spacing w:line="228" w:lineRule="auto"/>
              <w:jc w:val="left"/>
              <w:rPr>
                <w:rFonts w:hint="eastAsia" w:ascii="仿宋_GB2312" w:hAnsi="仿宋_GB2312" w:eastAsia="仿宋_GB2312" w:cs="仿宋_GB2312"/>
                <w:b w:val="0"/>
                <w:bCs w:val="0"/>
                <w:kern w:val="0"/>
                <w:sz w:val="24"/>
                <w:szCs w:val="24"/>
              </w:rPr>
            </w:pP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项目简述</w:t>
            </w:r>
          </w:p>
        </w:tc>
        <w:tc>
          <w:tcPr>
            <w:tcW w:w="6890"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思茅港生态环境优越、水文资源丰富、山水田园风光秀美，具备高位谋划、深度开发的景区建设要素。项目拟以思茅港国际口岸为核心，将橄榄坝、田园、水域、山体等区域纳入整体规划，建设南都新港、七彩田园、特色度假村、水上乐园、国际水上运动基地、森林生态康养度假区等板块，同时配套滨水别墅、滨水小筑、森林木屋等，涵盖康养旅居功能的服务设施，为各社会阶层、各年龄段消费群体提供服务，打造宜居宜旅的普洱健康生活目的地和普洱市全域旅游绿色经济示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43" w:hRule="atLeast"/>
          <w:jc w:val="center"/>
        </w:trPr>
        <w:tc>
          <w:tcPr>
            <w:tcW w:w="1122" w:type="dxa"/>
            <w:vMerge w:val="restart"/>
            <w:tcBorders>
              <w:tl2br w:val="nil"/>
              <w:tr2bl w:val="nil"/>
            </w:tcBorders>
            <w:vAlign w:val="center"/>
          </w:tcPr>
          <w:p>
            <w:pPr>
              <w:adjustRightInd w:val="0"/>
              <w:snapToGrid w:val="0"/>
              <w:spacing w:line="228" w:lineRule="auto"/>
              <w:jc w:val="left"/>
              <w:rPr>
                <w:rFonts w:hint="eastAsia" w:ascii="仿宋_GB2312" w:hAnsi="仿宋_GB2312" w:eastAsia="仿宋_GB2312" w:cs="仿宋_GB2312"/>
                <w:b w:val="0"/>
                <w:bCs w:val="0"/>
                <w:kern w:val="0"/>
                <w:sz w:val="24"/>
                <w:szCs w:val="24"/>
                <w:lang w:eastAsia="zh-CN"/>
              </w:rPr>
            </w:pPr>
            <w:r>
              <w:rPr>
                <w:rFonts w:hint="eastAsia" w:ascii="仿宋_GB2312" w:hAnsi="仿宋_GB2312" w:eastAsia="仿宋_GB2312" w:cs="仿宋_GB2312"/>
                <w:b w:val="0"/>
                <w:bCs w:val="0"/>
                <w:kern w:val="0"/>
                <w:sz w:val="24"/>
                <w:szCs w:val="24"/>
                <w:lang w:eastAsia="zh-CN"/>
              </w:rPr>
              <w:t>项目建设</w:t>
            </w: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建设周期</w:t>
            </w:r>
          </w:p>
        </w:tc>
        <w:tc>
          <w:tcPr>
            <w:tcW w:w="6890" w:type="dxa"/>
            <w:tcBorders>
              <w:tl2br w:val="nil"/>
              <w:tr2bl w:val="nil"/>
            </w:tcBorders>
            <w:vAlign w:val="center"/>
          </w:tcPr>
          <w:p>
            <w:pPr>
              <w:adjustRightInd w:val="0"/>
              <w:snapToGrid w:val="0"/>
              <w:spacing w:line="288" w:lineRule="auto"/>
              <w:jc w:val="both"/>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五年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23" w:hRule="atLeast"/>
          <w:jc w:val="center"/>
        </w:trPr>
        <w:tc>
          <w:tcPr>
            <w:tcW w:w="1122" w:type="dxa"/>
            <w:vMerge w:val="continue"/>
            <w:tcBorders>
              <w:tl2br w:val="nil"/>
              <w:tr2bl w:val="nil"/>
            </w:tcBorders>
            <w:vAlign w:val="center"/>
          </w:tcPr>
          <w:p>
            <w:pPr>
              <w:adjustRightInd w:val="0"/>
              <w:snapToGrid w:val="0"/>
              <w:spacing w:line="228" w:lineRule="auto"/>
              <w:jc w:val="left"/>
              <w:rPr>
                <w:rFonts w:hint="eastAsia" w:ascii="仿宋_GB2312" w:hAnsi="仿宋_GB2312" w:eastAsia="仿宋_GB2312" w:cs="仿宋_GB2312"/>
                <w:b w:val="0"/>
                <w:bCs w:val="0"/>
                <w:kern w:val="0"/>
                <w:sz w:val="24"/>
                <w:szCs w:val="24"/>
              </w:rPr>
            </w:pP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投资估算</w:t>
            </w:r>
          </w:p>
        </w:tc>
        <w:tc>
          <w:tcPr>
            <w:tcW w:w="6890"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03" w:hRule="atLeast"/>
          <w:jc w:val="center"/>
        </w:trPr>
        <w:tc>
          <w:tcPr>
            <w:tcW w:w="1122" w:type="dxa"/>
            <w:vMerge w:val="continue"/>
            <w:tcBorders>
              <w:tl2br w:val="nil"/>
              <w:tr2bl w:val="nil"/>
            </w:tcBorders>
            <w:vAlign w:val="center"/>
          </w:tcPr>
          <w:p>
            <w:pPr>
              <w:adjustRightInd w:val="0"/>
              <w:snapToGrid w:val="0"/>
              <w:spacing w:line="228" w:lineRule="auto"/>
              <w:jc w:val="left"/>
              <w:rPr>
                <w:rFonts w:hint="eastAsia" w:ascii="仿宋_GB2312" w:hAnsi="仿宋_GB2312" w:eastAsia="仿宋_GB2312" w:cs="仿宋_GB2312"/>
                <w:b w:val="0"/>
                <w:bCs w:val="0"/>
                <w:kern w:val="0"/>
                <w:sz w:val="24"/>
                <w:szCs w:val="24"/>
              </w:rPr>
            </w:pPr>
          </w:p>
        </w:tc>
        <w:tc>
          <w:tcPr>
            <w:tcW w:w="1154"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建设内容</w:t>
            </w:r>
          </w:p>
        </w:tc>
        <w:tc>
          <w:tcPr>
            <w:tcW w:w="6890" w:type="dxa"/>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项目定位：通过沿江风貌打造、田园景观提升改造、特色村落提升改造和夜间景观亮化工程，打造极具观赏价值和产业带动作用的“美丽湾区”。此外，思茅港“江心岛”区域植被茂密、三面临水，私密性较强，东北面山体可鸟瞰港湾全景，是打造高端康养度假区的绝佳选地。</w:t>
            </w:r>
          </w:p>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2.功能区划：度假区内有多个酒店项目，在港区建设星级酒店、七彩田园打造野奢酒店、打造特色民宿村落、打造水上乐园亲水小筑、建设康养度假区滨湖别墅群。</w:t>
            </w:r>
          </w:p>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3.建设内容：拟规划集水体、港口、田园、村落、森林、乐园等业态为一体的综合性度假区项目，建设一带（沿江旅游景观带）、一港（澜湄新港）、一园（七彩田园）、一村（东南亚文化旅游度假村）、一岛（澜湄秘境、澜湄国际论坛及森林生态康养度假区）、一乐园（澜湄湾国际水上乐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1122" w:type="dxa"/>
            <w:tcBorders>
              <w:tl2br w:val="nil"/>
              <w:tr2bl w:val="nil"/>
            </w:tcBorders>
            <w:vAlign w:val="center"/>
          </w:tcPr>
          <w:p>
            <w:pPr>
              <w:adjustRightInd w:val="0"/>
              <w:snapToGrid w:val="0"/>
              <w:spacing w:line="228" w:lineRule="auto"/>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招商方向</w:t>
            </w:r>
          </w:p>
        </w:tc>
        <w:tc>
          <w:tcPr>
            <w:tcW w:w="8044" w:type="dxa"/>
            <w:gridSpan w:val="2"/>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本项目作为一个集康养、旅游、商业等行业于一体的综合性开发项目，</w:t>
            </w:r>
            <w:r>
              <w:rPr>
                <w:rFonts w:hint="eastAsia" w:ascii="仿宋_GB2312" w:hAnsi="仿宋_GB2312" w:eastAsia="仿宋_GB2312" w:cs="仿宋_GB2312"/>
                <w:b w:val="0"/>
                <w:bCs w:val="0"/>
                <w:kern w:val="0"/>
                <w:sz w:val="24"/>
                <w:szCs w:val="24"/>
              </w:rPr>
              <w:t>招商主要面向国内具有开发运营能力的实力企业。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17" w:hRule="atLeast"/>
          <w:jc w:val="center"/>
        </w:trPr>
        <w:tc>
          <w:tcPr>
            <w:tcW w:w="1122" w:type="dxa"/>
            <w:tcBorders>
              <w:tl2br w:val="nil"/>
              <w:tr2bl w:val="nil"/>
            </w:tcBorders>
            <w:vAlign w:val="center"/>
          </w:tcPr>
          <w:p>
            <w:pPr>
              <w:adjustRightInd w:val="0"/>
              <w:snapToGrid w:val="0"/>
              <w:spacing w:line="228" w:lineRule="auto"/>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合作方式</w:t>
            </w:r>
          </w:p>
        </w:tc>
        <w:tc>
          <w:tcPr>
            <w:tcW w:w="8044" w:type="dxa"/>
            <w:gridSpan w:val="2"/>
            <w:tcBorders>
              <w:tl2br w:val="nil"/>
              <w:tr2bl w:val="nil"/>
            </w:tcBorders>
            <w:vAlign w:val="center"/>
          </w:tcPr>
          <w:p>
            <w:pPr>
              <w:adjustRightInd w:val="0"/>
              <w:snapToGrid w:val="0"/>
              <w:spacing w:line="288"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独资或以资产入股合作建设经营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90" w:hRule="atLeast"/>
          <w:jc w:val="center"/>
        </w:trPr>
        <w:tc>
          <w:tcPr>
            <w:tcW w:w="1122" w:type="dxa"/>
            <w:tcBorders>
              <w:tl2br w:val="nil"/>
              <w:tr2bl w:val="nil"/>
            </w:tcBorders>
            <w:vAlign w:val="center"/>
          </w:tcPr>
          <w:p>
            <w:pPr>
              <w:adjustRightInd w:val="0"/>
              <w:snapToGrid w:val="0"/>
              <w:spacing w:line="228" w:lineRule="auto"/>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联系方式</w:t>
            </w:r>
          </w:p>
        </w:tc>
        <w:tc>
          <w:tcPr>
            <w:tcW w:w="8044" w:type="dxa"/>
            <w:gridSpan w:val="2"/>
            <w:tcBorders>
              <w:tl2br w:val="nil"/>
              <w:tr2bl w:val="nil"/>
            </w:tcBorders>
            <w:vAlign w:val="center"/>
          </w:tcPr>
          <w:p>
            <w:pPr>
              <w:adjustRightInd w:val="0"/>
              <w:snapToGrid w:val="0"/>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联系单位：普洱市思茅区文化和旅游局</w:t>
            </w:r>
          </w:p>
          <w:p>
            <w:pPr>
              <w:adjustRightInd w:val="0"/>
              <w:snapToGrid w:val="0"/>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项目联系人：余朝庆（局长）</w:t>
            </w:r>
          </w:p>
          <w:p>
            <w:pPr>
              <w:adjustRightInd w:val="0"/>
              <w:snapToGrid w:val="0"/>
              <w:spacing w:line="276" w:lineRule="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联系电话：13577906816</w:t>
            </w:r>
          </w:p>
        </w:tc>
      </w:tr>
    </w:tbl>
    <w:p>
      <w:pPr>
        <w:jc w:val="right"/>
        <w:rPr>
          <w:rFonts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-3</w:t>
      </w:r>
    </w:p>
    <w:p/>
    <w:tbl>
      <w:tblPr>
        <w:tblStyle w:val="20"/>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085"/>
        <w:gridCol w:w="1108"/>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0" w:hRule="atLeast"/>
          <w:jc w:val="center"/>
        </w:trPr>
        <w:tc>
          <w:tcPr>
            <w:tcW w:w="10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项目综述</w:t>
            </w: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项目名称</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普洱现代物流产业园建设项目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16"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所属产业</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现代物流产业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89"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建设地点</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宁洱县火车站旁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98"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项目简述</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依托中老铁路宁洱货运编组站，重点打造中老铁路大通道上集物流、保税、冷链、仓储和小商品交易中心于一体的现代物流园，辐射全国、面向南亚东南亚的区域性国际现代物流中心。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717" w:hRule="atLeast"/>
          <w:jc w:val="center"/>
        </w:trPr>
        <w:tc>
          <w:tcPr>
            <w:tcW w:w="10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项目建设</w:t>
            </w: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lang w:eastAsia="zh-CN"/>
              </w:rPr>
              <w:t>项目用地</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地点位于宁洱县近郊、火车站旁。项目规划面积29.48公顷（442.2亩），还在该区域内同步获批约251亩土地，共有可用土地618亩。目前，已具备整体挂牌出让条件。接下来，依托三区三线划定成果，将火车货运站以东232亩土地作了规划调整，为物流产业发展留足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2"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建设周期</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2023年-2025年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80"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投资估算</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13亿元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925"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建设内容</w:t>
            </w:r>
          </w:p>
        </w:tc>
        <w:tc>
          <w:tcPr>
            <w:tcW w:w="71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物流食品的质检中心及追溯中心、绿色食品加工区、高标准恒温仓库区、标准化仓库区以及配套服务功能区。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04" w:hRule="atLeast"/>
          <w:jc w:val="center"/>
        </w:trPr>
        <w:tc>
          <w:tcPr>
            <w:tcW w:w="108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要素保障</w:t>
            </w: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生产运营成本</w:t>
            </w:r>
          </w:p>
        </w:tc>
        <w:tc>
          <w:tcPr>
            <w:tcW w:w="7106" w:type="dxa"/>
            <w:tcBorders>
              <w:tl2br w:val="nil"/>
              <w:tr2bl w:val="nil"/>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项目建设所需的水、电、气及其它辅料的供应有保障，无运输困难。劳动力资源丰富，价格约为100—150元/天/人。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01" w:hRule="atLeast"/>
          <w:jc w:val="center"/>
        </w:trPr>
        <w:tc>
          <w:tcPr>
            <w:tcW w:w="108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p>
        </w:tc>
        <w:tc>
          <w:tcPr>
            <w:tcW w:w="110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原料供应成本</w:t>
            </w:r>
          </w:p>
        </w:tc>
        <w:tc>
          <w:tcPr>
            <w:tcW w:w="7106" w:type="dxa"/>
            <w:tcBorders>
              <w:tl2br w:val="nil"/>
              <w:tr2bl w:val="nil"/>
            </w:tcBorders>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宁洱县建有水泥厂及一定数量的砖厂、沙石厂，建筑所需原材料供应有保障。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864" w:hRule="atLeast"/>
          <w:jc w:val="center"/>
        </w:trPr>
        <w:tc>
          <w:tcPr>
            <w:tcW w:w="10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招商方向</w:t>
            </w:r>
          </w:p>
        </w:tc>
        <w:tc>
          <w:tcPr>
            <w:tcW w:w="821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上海、广东、北京、天津物流行业发展起步早、发展好的地区；福建、武汉、四川、江苏、河南物流企业较多，与云南的经济交流合作程度深的地区；具有较高知名度、较丰富市场经验和较宽市场范围的物流综合型企业主要有：顺丰、德邦、申通、天地华宇等；物流基地主要建议名单有：云南次区域国际物流基地 、山东平原铁路物流基地、重庆公路物流基地等。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10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合作方式</w:t>
            </w:r>
          </w:p>
        </w:tc>
        <w:tc>
          <w:tcPr>
            <w:tcW w:w="821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sz w:val="24"/>
                <w:szCs w:val="24"/>
              </w:rPr>
              <w:t>合资、独资</w:t>
            </w:r>
            <w:r>
              <w:rPr>
                <w:rFonts w:hint="eastAsia" w:ascii="仿宋_GB2312" w:hAnsi="仿宋_GB2312" w:eastAsia="仿宋_GB2312" w:cs="仿宋_GB2312"/>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1101" w:hRule="atLeast"/>
          <w:jc w:val="center"/>
        </w:trPr>
        <w:tc>
          <w:tcPr>
            <w:tcW w:w="108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联系方式</w:t>
            </w:r>
          </w:p>
        </w:tc>
        <w:tc>
          <w:tcPr>
            <w:tcW w:w="821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联系单位：宁洱县工业商务和信息化局、 宁洱县投资促进局</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项目联系人：郭绍云 、陈俊才</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联系电话：18987920533、18988392637</w:t>
            </w:r>
          </w:p>
        </w:tc>
      </w:tr>
    </w:tbl>
    <w:p>
      <w:pPr>
        <w:pStyle w:val="6"/>
        <w:adjustRightInd w:val="0"/>
        <w:snapToGrid w:val="0"/>
        <w:jc w:val="center"/>
        <w:rPr>
          <w:rFonts w:hint="eastAsia" w:ascii="方正小标宋简体" w:hAnsi="方正小标宋简体" w:eastAsia="方正小标宋简体" w:cs="方正小标宋简体"/>
          <w:sz w:val="40"/>
          <w:szCs w:val="40"/>
        </w:rPr>
      </w:pPr>
    </w:p>
    <w:p>
      <w:pPr>
        <w:jc w:val="right"/>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-4</w:t>
      </w:r>
    </w:p>
    <w:tbl>
      <w:tblPr>
        <w:tblStyle w:val="20"/>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246"/>
        <w:gridCol w:w="6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12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江城县勐康口岸农产品加工园建设项目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现代物流业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江城县康平镇勐康口岸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项目简述</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0"/>
                <w:sz w:val="24"/>
                <w:szCs w:val="24"/>
              </w:rPr>
              <w:t>加强勐康口岸的基础设施建设及产业园规划，完善口岸功能，建设以中药材、木薯淀粉、粮食、水果等入境货物为主的落地加工厂房，将勐康口岸产业园建设为面向南亚东南亚开放的前沿窗口，形成工贸一体化、国际化、现代化的特色产业园区。项目建设能够提升经济区可持续发展能力，带动经济区加工业、跨境旅游等相关产业发展，周边民众可以加入企业获得收入，也可以自主投入开发民宿、餐饮等，充分挖掘经济潜力。以边境贸易带动相关产业的发展，优化产业结构，提高群众收入水平，实现脱贫致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项目建设</w:t>
            </w: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项目用地</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已按规划留有项目用地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建设周期</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投资估算</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8.47亿</w:t>
            </w:r>
            <w:r>
              <w:rPr>
                <w:rFonts w:hint="eastAsia" w:ascii="仿宋_GB2312" w:hAnsi="仿宋_GB2312" w:eastAsia="仿宋_GB2312" w:cs="仿宋_GB2312"/>
                <w:b w:val="0"/>
                <w:bCs/>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建设内容</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建设标准厂房、园区路道路、综合办证中心、绿化亮化工程、地下综合管网物流园区垃圾处理站、净污水处理厂改扩建、跨境电商、保税物流中心、免税店、国际商贸城及产业园区的土地整理等项目</w:t>
            </w:r>
            <w:r>
              <w:rPr>
                <w:rFonts w:hint="eastAsia" w:ascii="仿宋_GB2312" w:hAnsi="仿宋_GB2312" w:eastAsia="仿宋_GB2312" w:cs="仿宋_GB2312"/>
                <w:b w:val="0"/>
                <w:bCs/>
                <w:sz w:val="24"/>
                <w:szCs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124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运营成本</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按投资实施时市场走势测算。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24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2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原料成本</w:t>
            </w:r>
          </w:p>
        </w:tc>
        <w:tc>
          <w:tcPr>
            <w:tcW w:w="68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按投资实施时市场走势测算。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2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80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引进加工、贸易类企业入驻产业园；引进建设、运营类企业完善实施建设。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80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合资、合作或其它。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124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80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联系单位：江城县投资促进局</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项目联系人：张倩</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联系电话：18087907188</w:t>
            </w:r>
          </w:p>
        </w:tc>
      </w:tr>
    </w:tbl>
    <w:p>
      <w:pPr>
        <w:jc w:val="right"/>
        <w:rPr>
          <w:rFonts w:hint="eastAsia" w:ascii="方正小标宋简体" w:hAnsi="方正小标宋简体" w:eastAsia="方正小标宋简体" w:cs="方正小标宋简体"/>
          <w:sz w:val="44"/>
          <w:szCs w:val="44"/>
          <w:lang w:eastAsia="zh-CN"/>
        </w:rPr>
      </w:pPr>
    </w:p>
    <w:p>
      <w:pPr>
        <w:jc w:val="right"/>
        <w:rPr>
          <w:rFonts w:hint="eastAsia" w:ascii="方正小标宋简体" w:hAnsi="方正小标宋简体" w:eastAsia="方正小标宋简体" w:cs="方正小标宋简体"/>
          <w:sz w:val="44"/>
          <w:szCs w:val="44"/>
          <w:lang w:eastAsia="zh-CN"/>
        </w:rPr>
      </w:pPr>
    </w:p>
    <w:p>
      <w:pPr>
        <w:jc w:val="right"/>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-5</w:t>
      </w:r>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116"/>
        <w:gridCol w:w="1095"/>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90" w:hRule="atLeast"/>
          <w:jc w:val="center"/>
        </w:trPr>
        <w:tc>
          <w:tcPr>
            <w:tcW w:w="11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普洱咖啡农业产业融合发展示范园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16" w:hRule="atLeast"/>
          <w:jc w:val="center"/>
        </w:trPr>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高原特色农业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89" w:hRule="atLeast"/>
          <w:jc w:val="center"/>
        </w:trPr>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普洱市思茅区南屏镇南岛河村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598" w:hRule="atLeast"/>
          <w:jc w:val="center"/>
        </w:trPr>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项目简述</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依托思茅区南岛河村咖啡产业优势和优越的生态环境，以咖啡小镇建设为切入点，按照思茅区做强做大咖啡产业、推进咖啡产业一二三产融合的发展导向，以“改善农业供给、拓展农业功能、拓宽示范区农民增收渠道”为核心，以打造“区域农村产业融合示范区”为抓手，以“智慧示范园综合应用服务平台等现代科技”为支撑，拟规划打造咖啡标准化种植示范区、咖啡加工产业示范区、咖旅融合发展区，乡村振兴示范村四大板块及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67" w:hRule="atLeast"/>
          <w:jc w:val="center"/>
        </w:trPr>
        <w:tc>
          <w:tcPr>
            <w:tcW w:w="11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建设周期</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66" w:hRule="atLeast"/>
          <w:jc w:val="center"/>
        </w:trPr>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投资估算</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8.85亿元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266" w:hRule="atLeast"/>
          <w:jc w:val="center"/>
        </w:trPr>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建设内容</w:t>
            </w:r>
          </w:p>
        </w:tc>
        <w:tc>
          <w:tcPr>
            <w:tcW w:w="6849"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有机咖啡种植示范基地：有机咖啡种植基地500亩，咖啡优质品种选育、种植试验基地、有机种植示范点、基础设施配套。基础设施配套包括:蓄水池100立方米，1.5公里引水管、5盏太阳能杀虫灯等设施，苗木、有机肥补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咖啡加工区：新建标准化厂房5000平方米，包括初加工厂房、烘焙中心、包装厂房;采购设备，包括脱皮机、鲜果红外线分级机、分级震动筛选机、咖啡豆红外线分级机、脱胶机、烘培机、深加工设备、办公设备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游客综合服务中心：含游客接待中心、餐饮、办公管理、游客服务点以及相关配套设施，总建设面积约6000平方米。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304" w:hRule="atLeast"/>
          <w:jc w:val="center"/>
        </w:trPr>
        <w:tc>
          <w:tcPr>
            <w:tcW w:w="1116"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运营成本</w:t>
            </w:r>
          </w:p>
        </w:tc>
        <w:tc>
          <w:tcPr>
            <w:tcW w:w="6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sz w:val="24"/>
                <w:szCs w:val="24"/>
                <w:lang w:bidi="ar"/>
              </w:rPr>
            </w:pPr>
            <w:r>
              <w:rPr>
                <w:rFonts w:hint="eastAsia" w:ascii="仿宋_GB2312" w:hAnsi="仿宋_GB2312" w:eastAsia="仿宋_GB2312" w:cs="仿宋_GB2312"/>
                <w:b w:val="0"/>
                <w:bCs/>
                <w:sz w:val="24"/>
                <w:szCs w:val="24"/>
                <w:lang w:bidi="ar"/>
              </w:rPr>
              <w:t>原材料：建设用石头、水泥、砂石可在镇内采购。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sz w:val="24"/>
                <w:szCs w:val="24"/>
                <w:lang w:bidi="ar"/>
              </w:rPr>
              <w:t>辅  料：项目所需水、电可就地取材，交通方便。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trHeight w:val="451" w:hRule="atLeast"/>
          <w:jc w:val="center"/>
        </w:trPr>
        <w:tc>
          <w:tcPr>
            <w:tcW w:w="1116"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lang w:eastAsia="zh-CN"/>
              </w:rPr>
              <w:t>人工</w:t>
            </w:r>
            <w:r>
              <w:rPr>
                <w:rFonts w:hint="eastAsia" w:ascii="仿宋_GB2312" w:hAnsi="仿宋_GB2312" w:eastAsia="仿宋_GB2312" w:cs="仿宋_GB2312"/>
                <w:b w:val="0"/>
                <w:bCs/>
                <w:kern w:val="0"/>
                <w:sz w:val="24"/>
                <w:szCs w:val="24"/>
              </w:rPr>
              <w:t>成本</w:t>
            </w:r>
          </w:p>
        </w:tc>
        <w:tc>
          <w:tcPr>
            <w:tcW w:w="6849"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sz w:val="24"/>
                <w:szCs w:val="24"/>
                <w:lang w:bidi="ar"/>
              </w:rPr>
              <w:t>劳动力充足，一般劳动力的平均价格为150-200元/人/天。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79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咖啡产业、旅游、商业运营等企业</w:t>
            </w:r>
            <w:r>
              <w:rPr>
                <w:rFonts w:hint="eastAsia" w:ascii="仿宋_GB2312" w:hAnsi="仿宋_GB2312" w:eastAsia="仿宋_GB2312" w:cs="仿宋_GB2312"/>
                <w:b w:val="0"/>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79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rPr>
              <w:t>合资、合作或股权等</w:t>
            </w:r>
            <w:r>
              <w:rPr>
                <w:rFonts w:hint="eastAsia" w:ascii="仿宋_GB2312" w:hAnsi="仿宋_GB2312" w:eastAsia="仿宋_GB2312" w:cs="仿宋_GB2312"/>
                <w:b w:val="0"/>
                <w:bCs/>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Ex>
        <w:trPr>
          <w:jc w:val="center"/>
        </w:trPr>
        <w:tc>
          <w:tcPr>
            <w:tcW w:w="111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794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联系单位：普洱市思茅区投资促进局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sz w:val="24"/>
                <w:szCs w:val="24"/>
                <w:lang w:bidi="ar"/>
              </w:rPr>
            </w:pPr>
            <w:r>
              <w:rPr>
                <w:rFonts w:hint="eastAsia" w:ascii="仿宋_GB2312" w:hAnsi="仿宋_GB2312" w:eastAsia="仿宋_GB2312" w:cs="仿宋_GB2312"/>
                <w:b w:val="0"/>
                <w:bCs/>
                <w:kern w:val="0"/>
                <w:sz w:val="24"/>
                <w:szCs w:val="24"/>
              </w:rPr>
              <w:t>项目联系人：施薇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联系电话：13987951405</w:t>
            </w:r>
          </w:p>
        </w:tc>
      </w:tr>
    </w:tbl>
    <w:p>
      <w:pPr>
        <w:jc w:val="right"/>
        <w:rPr>
          <w:rStyle w:val="32"/>
          <w:rFonts w:ascii="方正小标宋简体" w:hAnsi="方正小标宋简体" w:eastAsia="方正小标宋简体" w:cs="方正小标宋简体"/>
          <w:b w:val="0"/>
          <w:bCs/>
          <w:color w:val="auto"/>
          <w:sz w:val="40"/>
          <w:szCs w:val="40"/>
        </w:rPr>
      </w:pPr>
      <w:bookmarkStart w:id="0" w:name="_Toc11863"/>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-6</w:t>
      </w:r>
    </w:p>
    <w:p>
      <w:pPr>
        <w:pStyle w:val="3"/>
        <w:snapToGrid w:val="0"/>
        <w:rPr>
          <w:color w:val="auto"/>
          <w:sz w:val="13"/>
          <w:szCs w:val="13"/>
        </w:rPr>
      </w:pPr>
    </w:p>
    <w:bookmarkEnd w:id="0"/>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104"/>
        <w:gridCol w:w="107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0" w:hRule="atLeast"/>
          <w:jc w:val="center"/>
        </w:trPr>
        <w:tc>
          <w:tcPr>
            <w:tcW w:w="1104" w:type="dxa"/>
            <w:vMerge w:val="restart"/>
            <w:vAlign w:val="center"/>
          </w:tcPr>
          <w:p>
            <w:pPr>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073" w:type="dxa"/>
            <w:vAlign w:val="center"/>
          </w:tcPr>
          <w:p>
            <w:pPr>
              <w:snapToGrid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项目名称</w:t>
            </w:r>
          </w:p>
        </w:tc>
        <w:tc>
          <w:tcPr>
            <w:tcW w:w="6883" w:type="dxa"/>
            <w:vAlign w:val="center"/>
          </w:tcPr>
          <w:p>
            <w:pPr>
              <w:snapToGrid w:val="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墨江预制菜产业建设项目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416" w:hRule="atLeast"/>
          <w:jc w:val="center"/>
        </w:trPr>
        <w:tc>
          <w:tcPr>
            <w:tcW w:w="1104" w:type="dxa"/>
            <w:vMerge w:val="continue"/>
            <w:vAlign w:val="center"/>
          </w:tcPr>
          <w:p>
            <w:pPr>
              <w:snapToGrid w:val="0"/>
              <w:jc w:val="center"/>
              <w:rPr>
                <w:rFonts w:hint="eastAsia" w:ascii="仿宋_GB2312" w:hAnsi="仿宋_GB2312" w:eastAsia="仿宋_GB2312" w:cs="仿宋_GB2312"/>
                <w:b w:val="0"/>
                <w:bCs/>
                <w:kern w:val="0"/>
                <w:sz w:val="24"/>
                <w:szCs w:val="24"/>
              </w:rPr>
            </w:pPr>
          </w:p>
        </w:tc>
        <w:tc>
          <w:tcPr>
            <w:tcW w:w="1073" w:type="dxa"/>
            <w:vAlign w:val="center"/>
          </w:tcPr>
          <w:p>
            <w:pPr>
              <w:snapToGrid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所属产业</w:t>
            </w:r>
          </w:p>
        </w:tc>
        <w:tc>
          <w:tcPr>
            <w:tcW w:w="6883" w:type="dxa"/>
            <w:vAlign w:val="center"/>
          </w:tcPr>
          <w:p>
            <w:pPr>
              <w:snapToGrid w:val="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绿色食品牌产业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89" w:hRule="atLeast"/>
          <w:jc w:val="center"/>
        </w:trPr>
        <w:tc>
          <w:tcPr>
            <w:tcW w:w="1104" w:type="dxa"/>
            <w:vMerge w:val="continue"/>
            <w:vAlign w:val="center"/>
          </w:tcPr>
          <w:p>
            <w:pPr>
              <w:snapToGrid w:val="0"/>
              <w:jc w:val="center"/>
              <w:rPr>
                <w:rFonts w:hint="eastAsia" w:ascii="仿宋_GB2312" w:hAnsi="仿宋_GB2312" w:eastAsia="仿宋_GB2312" w:cs="仿宋_GB2312"/>
                <w:b w:val="0"/>
                <w:bCs/>
                <w:kern w:val="0"/>
                <w:sz w:val="24"/>
                <w:szCs w:val="24"/>
              </w:rPr>
            </w:pPr>
          </w:p>
        </w:tc>
        <w:tc>
          <w:tcPr>
            <w:tcW w:w="1073" w:type="dxa"/>
            <w:vAlign w:val="center"/>
          </w:tcPr>
          <w:p>
            <w:pPr>
              <w:snapToGrid w:val="0"/>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建设地点</w:t>
            </w:r>
          </w:p>
        </w:tc>
        <w:tc>
          <w:tcPr>
            <w:tcW w:w="6883" w:type="dxa"/>
            <w:vAlign w:val="center"/>
          </w:tcPr>
          <w:p>
            <w:pPr>
              <w:snapToGrid w:val="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墨江县联珠镇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878" w:hRule="atLeast"/>
          <w:jc w:val="center"/>
        </w:trPr>
        <w:tc>
          <w:tcPr>
            <w:tcW w:w="1104" w:type="dxa"/>
            <w:vMerge w:val="continue"/>
            <w:vAlign w:val="center"/>
          </w:tcPr>
          <w:p>
            <w:pPr>
              <w:snapToGrid w:val="0"/>
              <w:jc w:val="center"/>
              <w:rPr>
                <w:rFonts w:hint="eastAsia" w:ascii="仿宋_GB2312" w:hAnsi="仿宋_GB2312" w:eastAsia="仿宋_GB2312" w:cs="仿宋_GB2312"/>
                <w:b w:val="0"/>
                <w:bCs/>
                <w:kern w:val="0"/>
                <w:sz w:val="24"/>
                <w:szCs w:val="24"/>
              </w:rPr>
            </w:pPr>
          </w:p>
        </w:tc>
        <w:tc>
          <w:tcPr>
            <w:tcW w:w="107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项目简述</w:t>
            </w:r>
          </w:p>
        </w:tc>
        <w:tc>
          <w:tcPr>
            <w:tcW w:w="688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墨江物产资源丰富且品质高，菜品多样且美味可口，墨江紫米等产品生态属性高、品质过硬且享有较高知名度。正在建设双龙产业园区、墨江新安果蔬冷链交易中心建设等产业发展设施建设工程，相关配套基础设施将越来越完善。墨江哈尼族自治县制定了预制菜产业发展3年行动方案，于2022年6月揭牌成立预制菜产业研究中心。预制菜重点建设项目“墨江县食材精加工标准研发及产业化园区建设项目”初步规划总用地面积400亩，项目总建筑面积20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7" w:hRule="atLeast"/>
          <w:jc w:val="center"/>
        </w:trPr>
        <w:tc>
          <w:tcPr>
            <w:tcW w:w="1104" w:type="dxa"/>
            <w:vMerge w:val="restart"/>
            <w:vAlign w:val="center"/>
          </w:tcPr>
          <w:p>
            <w:pPr>
              <w:snapToGrid w:val="0"/>
              <w:jc w:val="center"/>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07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建设周期</w:t>
            </w:r>
          </w:p>
        </w:tc>
        <w:tc>
          <w:tcPr>
            <w:tcW w:w="6883" w:type="dxa"/>
            <w:vAlign w:val="center"/>
          </w:tcPr>
          <w:p>
            <w:pPr>
              <w:snapToGrid w:val="0"/>
              <w:spacing w:line="276"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2" w:hRule="atLeast"/>
          <w:jc w:val="center"/>
        </w:trPr>
        <w:tc>
          <w:tcPr>
            <w:tcW w:w="1104" w:type="dxa"/>
            <w:vMerge w:val="continue"/>
            <w:vAlign w:val="center"/>
          </w:tcPr>
          <w:p>
            <w:pPr>
              <w:snapToGrid w:val="0"/>
              <w:jc w:val="center"/>
              <w:rPr>
                <w:rFonts w:hint="eastAsia" w:ascii="仿宋_GB2312" w:hAnsi="仿宋_GB2312" w:eastAsia="仿宋_GB2312" w:cs="仿宋_GB2312"/>
                <w:b w:val="0"/>
                <w:bCs/>
                <w:kern w:val="0"/>
                <w:sz w:val="24"/>
                <w:szCs w:val="24"/>
              </w:rPr>
            </w:pPr>
          </w:p>
        </w:tc>
        <w:tc>
          <w:tcPr>
            <w:tcW w:w="107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投资估算</w:t>
            </w:r>
          </w:p>
        </w:tc>
        <w:tc>
          <w:tcPr>
            <w:tcW w:w="6883" w:type="dxa"/>
            <w:vAlign w:val="center"/>
          </w:tcPr>
          <w:p>
            <w:pPr>
              <w:snapToGrid w:val="0"/>
              <w:spacing w:line="276" w:lineRule="auto"/>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90" w:hRule="atLeast"/>
          <w:jc w:val="center"/>
        </w:trPr>
        <w:tc>
          <w:tcPr>
            <w:tcW w:w="1104" w:type="dxa"/>
            <w:vMerge w:val="continue"/>
            <w:vAlign w:val="center"/>
          </w:tcPr>
          <w:p>
            <w:pPr>
              <w:snapToGrid w:val="0"/>
              <w:jc w:val="center"/>
              <w:rPr>
                <w:rFonts w:hint="eastAsia" w:ascii="仿宋_GB2312" w:hAnsi="仿宋_GB2312" w:eastAsia="仿宋_GB2312" w:cs="仿宋_GB2312"/>
                <w:b w:val="0"/>
                <w:bCs/>
                <w:kern w:val="0"/>
                <w:sz w:val="24"/>
                <w:szCs w:val="24"/>
              </w:rPr>
            </w:pPr>
          </w:p>
        </w:tc>
        <w:tc>
          <w:tcPr>
            <w:tcW w:w="107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建设内容</w:t>
            </w:r>
          </w:p>
        </w:tc>
        <w:tc>
          <w:tcPr>
            <w:tcW w:w="688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val="en-US" w:eastAsia="zh-CN"/>
              </w:rPr>
              <w:t>1.</w:t>
            </w:r>
            <w:r>
              <w:rPr>
                <w:rFonts w:hint="eastAsia" w:ascii="仿宋_GB2312" w:hAnsi="仿宋_GB2312" w:eastAsia="仿宋_GB2312" w:cs="仿宋_GB2312"/>
                <w:b w:val="0"/>
                <w:bCs/>
                <w:sz w:val="24"/>
                <w:szCs w:val="24"/>
              </w:rPr>
              <w:t>预制菜（中国菜系）加工标准研发集成基地（中心）建设；</w:t>
            </w:r>
            <w:r>
              <w:rPr>
                <w:rFonts w:hint="eastAsia" w:ascii="仿宋_GB2312" w:hAnsi="仿宋_GB2312" w:eastAsia="仿宋_GB2312" w:cs="仿宋_GB2312"/>
                <w:b w:val="0"/>
                <w:bCs/>
                <w:sz w:val="24"/>
                <w:szCs w:val="24"/>
                <w:lang w:val="en-US" w:eastAsia="zh-CN"/>
              </w:rPr>
              <w:t>2.</w:t>
            </w:r>
            <w:r>
              <w:rPr>
                <w:rFonts w:hint="eastAsia" w:ascii="仿宋_GB2312" w:hAnsi="仿宋_GB2312" w:eastAsia="仿宋_GB2312" w:cs="仿宋_GB2312"/>
                <w:b w:val="0"/>
                <w:bCs/>
                <w:sz w:val="24"/>
                <w:szCs w:val="24"/>
              </w:rPr>
              <w:t>畜禽（水产）预制菜加工园区建设；</w:t>
            </w:r>
            <w:r>
              <w:rPr>
                <w:rFonts w:hint="eastAsia" w:ascii="仿宋_GB2312" w:hAnsi="仿宋_GB2312" w:eastAsia="仿宋_GB2312" w:cs="仿宋_GB2312"/>
                <w:b w:val="0"/>
                <w:bCs/>
                <w:sz w:val="24"/>
                <w:szCs w:val="24"/>
                <w:lang w:val="en-US" w:eastAsia="zh-CN"/>
              </w:rPr>
              <w:t>3.</w:t>
            </w:r>
            <w:r>
              <w:rPr>
                <w:rFonts w:hint="eastAsia" w:ascii="仿宋_GB2312" w:hAnsi="仿宋_GB2312" w:eastAsia="仿宋_GB2312" w:cs="仿宋_GB2312"/>
                <w:b w:val="0"/>
                <w:bCs/>
                <w:sz w:val="24"/>
                <w:szCs w:val="24"/>
              </w:rPr>
              <w:t>墨江小黄姜出口基地建设；</w:t>
            </w:r>
            <w:r>
              <w:rPr>
                <w:rFonts w:hint="eastAsia" w:ascii="仿宋_GB2312" w:hAnsi="仿宋_GB2312" w:eastAsia="仿宋_GB2312" w:cs="仿宋_GB2312"/>
                <w:b w:val="0"/>
                <w:bCs/>
                <w:sz w:val="24"/>
                <w:szCs w:val="24"/>
                <w:lang w:val="en-US" w:eastAsia="zh-CN"/>
              </w:rPr>
              <w:t>4.</w:t>
            </w:r>
            <w:r>
              <w:rPr>
                <w:rFonts w:hint="eastAsia" w:ascii="仿宋_GB2312" w:hAnsi="仿宋_GB2312" w:eastAsia="仿宋_GB2312" w:cs="仿宋_GB2312"/>
                <w:b w:val="0"/>
                <w:bCs/>
                <w:sz w:val="24"/>
                <w:szCs w:val="24"/>
              </w:rPr>
              <w:t>依托现有小分子肽加工生产线，建设大健康产品加工基地；</w:t>
            </w:r>
            <w:r>
              <w:rPr>
                <w:rFonts w:hint="eastAsia" w:ascii="仿宋_GB2312" w:hAnsi="仿宋_GB2312" w:eastAsia="仿宋_GB2312" w:cs="仿宋_GB2312"/>
                <w:b w:val="0"/>
                <w:bCs/>
                <w:sz w:val="24"/>
                <w:szCs w:val="24"/>
                <w:lang w:val="en-US" w:eastAsia="zh-CN"/>
              </w:rPr>
              <w:t>5.</w:t>
            </w:r>
            <w:r>
              <w:rPr>
                <w:rFonts w:hint="eastAsia" w:ascii="仿宋_GB2312" w:hAnsi="仿宋_GB2312" w:eastAsia="仿宋_GB2312" w:cs="仿宋_GB2312"/>
                <w:b w:val="0"/>
                <w:bCs/>
                <w:sz w:val="24"/>
                <w:szCs w:val="24"/>
              </w:rPr>
              <w:t>冷链物流改造建设。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668" w:hRule="atLeast"/>
          <w:jc w:val="center"/>
        </w:trPr>
        <w:tc>
          <w:tcPr>
            <w:tcW w:w="1104" w:type="dxa"/>
            <w:vMerge w:val="restart"/>
            <w:vAlign w:val="center"/>
          </w:tcPr>
          <w:p>
            <w:pPr>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要素保障</w:t>
            </w:r>
          </w:p>
        </w:tc>
        <w:tc>
          <w:tcPr>
            <w:tcW w:w="1073" w:type="dxa"/>
            <w:vAlign w:val="center"/>
          </w:tcPr>
          <w:p>
            <w:pPr>
              <w:snapToGrid w:val="0"/>
              <w:spacing w:line="276"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运营成本</w:t>
            </w:r>
          </w:p>
        </w:tc>
        <w:tc>
          <w:tcPr>
            <w:tcW w:w="688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以实际招拍挂价格为准，投资强度约200万/亩；产业用电：一般工商业及其他用电电费：不满1千伏为0.410125元/度，1-10千伏为0.400125元/度，35-110千伏以下为0.390125元/度；农业生产用电电费：不满1千伏为0.430875元/度，1-10千伏为0.420875元/度，35-110千伏以下为0.410875元/度；产业用水：工商用水价格：5.00-5.603元/m³；劳动力：月最低工资标准1600元，小时最低工资标准16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90" w:hRule="atLeast"/>
          <w:jc w:val="center"/>
        </w:trPr>
        <w:tc>
          <w:tcPr>
            <w:tcW w:w="1104" w:type="dxa"/>
            <w:vMerge w:val="continue"/>
            <w:vAlign w:val="center"/>
          </w:tcPr>
          <w:p>
            <w:pPr>
              <w:snapToGrid w:val="0"/>
              <w:jc w:val="center"/>
              <w:rPr>
                <w:rFonts w:hint="eastAsia" w:ascii="仿宋_GB2312" w:hAnsi="仿宋_GB2312" w:eastAsia="仿宋_GB2312" w:cs="仿宋_GB2312"/>
                <w:b w:val="0"/>
                <w:bCs/>
                <w:kern w:val="0"/>
                <w:sz w:val="24"/>
                <w:szCs w:val="24"/>
              </w:rPr>
            </w:pPr>
          </w:p>
        </w:tc>
        <w:tc>
          <w:tcPr>
            <w:tcW w:w="1073" w:type="dxa"/>
            <w:vAlign w:val="center"/>
          </w:tcPr>
          <w:p>
            <w:pPr>
              <w:snapToGrid w:val="0"/>
              <w:spacing w:line="276" w:lineRule="auto"/>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原料成本</w:t>
            </w:r>
          </w:p>
        </w:tc>
        <w:tc>
          <w:tcPr>
            <w:tcW w:w="6883" w:type="dxa"/>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墨江地处亚热带、山谷、河流众多、生物多样性环境明显，自然资源丰富，农产品种植、生产条件优越，原料供应成本价格低。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439" w:hRule="atLeast"/>
          <w:jc w:val="center"/>
        </w:trPr>
        <w:tc>
          <w:tcPr>
            <w:tcW w:w="1104" w:type="dxa"/>
            <w:vAlign w:val="center"/>
          </w:tcPr>
          <w:p>
            <w:pPr>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7956" w:type="dxa"/>
            <w:gridSpan w:val="2"/>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独资、合资、合作经营。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1017" w:hRule="atLeast"/>
          <w:jc w:val="center"/>
        </w:trPr>
        <w:tc>
          <w:tcPr>
            <w:tcW w:w="1104" w:type="dxa"/>
            <w:vAlign w:val="center"/>
          </w:tcPr>
          <w:p>
            <w:pPr>
              <w:snapToGrid w:val="0"/>
              <w:jc w:val="center"/>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7956" w:type="dxa"/>
            <w:gridSpan w:val="2"/>
            <w:vAlign w:val="center"/>
          </w:tcPr>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联系单位：墨江县工业商务和信息化局</w:t>
            </w:r>
          </w:p>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项目联系人：李光辉</w:t>
            </w:r>
          </w:p>
          <w:p>
            <w:pPr>
              <w:snapToGrid w:val="0"/>
              <w:spacing w:line="276" w:lineRule="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联系电话：19987978765</w:t>
            </w:r>
          </w:p>
        </w:tc>
      </w:tr>
    </w:tbl>
    <w:p/>
    <w:p>
      <w:pPr>
        <w:pStyle w:val="30"/>
        <w:ind w:firstLine="0"/>
        <w:rPr>
          <w:rFonts w:ascii="楷体_GB2312" w:hAnsi="楷体_GB2312" w:eastAsia="楷体_GB2312" w:cs="楷体_GB2312"/>
          <w:b/>
          <w:bCs/>
          <w:kern w:val="0"/>
          <w:sz w:val="32"/>
          <w:szCs w:val="32"/>
          <w:lang w:bidi="ar"/>
        </w:rPr>
      </w:pPr>
    </w:p>
    <w:p>
      <w:pPr>
        <w:jc w:val="right"/>
        <w:rPr>
          <w:rFonts w:ascii="方正小标宋简体" w:hAnsi="方正小标宋简体" w:eastAsia="方正小标宋简体" w:cs="方正小标宋简体"/>
          <w:kern w:val="0"/>
          <w:sz w:val="40"/>
          <w:szCs w:val="40"/>
        </w:rPr>
      </w:pPr>
      <w:bookmarkStart w:id="1" w:name="_Toc31421"/>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-7</w:t>
      </w:r>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71"/>
        <w:gridCol w:w="1083"/>
        <w:gridCol w:w="6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30" w:hRule="atLeast"/>
          <w:jc w:val="center"/>
        </w:trPr>
        <w:tc>
          <w:tcPr>
            <w:tcW w:w="1071" w:type="dxa"/>
            <w:vMerge w:val="restart"/>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906" w:type="dxa"/>
            <w:vAlign w:val="center"/>
          </w:tcPr>
          <w:p>
            <w:pPr>
              <w:pStyle w:val="2"/>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普洱市思茅至江城（整董）高速公路项目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59" w:hRule="atLeast"/>
          <w:jc w:val="center"/>
        </w:trPr>
        <w:tc>
          <w:tcPr>
            <w:tcW w:w="1071"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906" w:type="dxa"/>
            <w:vAlign w:val="center"/>
          </w:tcPr>
          <w:p>
            <w:pPr>
              <w:pStyle w:val="2"/>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29" w:hRule="atLeast"/>
          <w:jc w:val="center"/>
        </w:trPr>
        <w:tc>
          <w:tcPr>
            <w:tcW w:w="1071"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906" w:type="dxa"/>
            <w:vAlign w:val="center"/>
          </w:tcPr>
          <w:p>
            <w:pPr>
              <w:pStyle w:val="2"/>
              <w:keepNext w:val="0"/>
              <w:keepLines w:val="0"/>
              <w:pageBreakBefore w:val="0"/>
              <w:kinsoku/>
              <w:wordWrap/>
              <w:overflowPunct/>
              <w:topLinePunct w:val="0"/>
              <w:autoSpaceDE/>
              <w:autoSpaceDN/>
              <w:bidi w:val="0"/>
              <w:adjustRightInd/>
              <w:snapToGrid w:val="0"/>
              <w:spacing w:line="360" w:lineRule="exact"/>
              <w:ind w:firstLine="0" w:firstLine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思茅区、江城县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912" w:hRule="atLeast"/>
          <w:jc w:val="center"/>
        </w:trPr>
        <w:tc>
          <w:tcPr>
            <w:tcW w:w="1071"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项目简述</w:t>
            </w:r>
          </w:p>
        </w:tc>
        <w:tc>
          <w:tcPr>
            <w:tcW w:w="6906" w:type="dxa"/>
            <w:vAlign w:val="center"/>
          </w:tcPr>
          <w:p>
            <w:pPr>
              <w:pStyle w:val="2"/>
              <w:keepNext w:val="0"/>
              <w:keepLines w:val="0"/>
              <w:pageBreakBefore w:val="0"/>
              <w:kinsoku/>
              <w:wordWrap/>
              <w:overflowPunct/>
              <w:topLinePunct w:val="0"/>
              <w:autoSpaceDE/>
              <w:autoSpaceDN/>
              <w:bidi w:val="0"/>
              <w:adjustRightInd/>
              <w:snapToGrid w:val="0"/>
              <w:spacing w:line="360" w:lineRule="exact"/>
              <w:ind w:left="0" w:leftChars="0" w:firstLine="0" w:firstLineChars="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项目路线起于普洱市思茅区南岛河，设T型枢纽互通与既有G8511昆磨高速思小段相接；经老叶寨、石膏箐、菠萝、康平，止于江城县整董镇曼滩村勐绿高速曼滩枢纽互通，接在建的勐醒至江城至绿春公路。主线全长80.3公里，概算投资175.3亿元，采用双向四车道高速公路标准建设，设计速度80公里/小时，路基宽度25.5米。同步建设大寨连接线全长9.5公里，采用一级公路标准建设，设计时速80公里/小时，路基宽度25.5米。全线设置桥梁32055米/90座、隧道20081米/16座，桥隧比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494" w:hRule="atLeast"/>
          <w:jc w:val="center"/>
        </w:trPr>
        <w:tc>
          <w:tcPr>
            <w:tcW w:w="1071" w:type="dxa"/>
            <w:vMerge w:val="restart"/>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建设周期</w:t>
            </w:r>
          </w:p>
        </w:tc>
        <w:tc>
          <w:tcPr>
            <w:tcW w:w="6906" w:type="dxa"/>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预计建设工期是4年。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266" w:hRule="atLeast"/>
          <w:jc w:val="center"/>
        </w:trPr>
        <w:tc>
          <w:tcPr>
            <w:tcW w:w="1071"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投资估算</w:t>
            </w:r>
          </w:p>
        </w:tc>
        <w:tc>
          <w:tcPr>
            <w:tcW w:w="6906" w:type="dxa"/>
            <w:vAlign w:val="center"/>
          </w:tcPr>
          <w:p>
            <w:pPr>
              <w:keepNext w:val="0"/>
              <w:keepLines w:val="0"/>
              <w:pageBreakBefore w:val="0"/>
              <w:kinsoku/>
              <w:wordWrap/>
              <w:overflowPunct/>
              <w:topLinePunct w:val="0"/>
              <w:autoSpaceDE/>
              <w:autoSpaceDN/>
              <w:bidi w:val="0"/>
              <w:adjustRightInd/>
              <w:snapToGrid w:val="0"/>
              <w:spacing w:line="360" w:lineRule="exact"/>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项目的总投资概算批复为175.3亿元</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根据工可批复，本项目省级按照2000万元/公里补助，预设资本金占总投资的20%，目前已申请发行地方专项债券30亿元，已到位10.29亿元，剩余额度依据项目进展情况进行申报。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285" w:hRule="atLeast"/>
          <w:jc w:val="center"/>
        </w:trPr>
        <w:tc>
          <w:tcPr>
            <w:tcW w:w="1071" w:type="dxa"/>
            <w:vMerge w:val="continue"/>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p>
        </w:tc>
        <w:tc>
          <w:tcPr>
            <w:tcW w:w="1083" w:type="dxa"/>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建设内容</w:t>
            </w:r>
          </w:p>
        </w:tc>
        <w:tc>
          <w:tcPr>
            <w:tcW w:w="6906" w:type="dxa"/>
            <w:vAlign w:val="center"/>
          </w:tcPr>
          <w:p>
            <w:pPr>
              <w:pStyle w:val="2"/>
              <w:keepNext w:val="0"/>
              <w:keepLines w:val="0"/>
              <w:pageBreakBefore w:val="0"/>
              <w:kinsoku/>
              <w:wordWrap/>
              <w:overflowPunct/>
              <w:topLinePunct w:val="0"/>
              <w:autoSpaceDE/>
              <w:autoSpaceDN/>
              <w:bidi w:val="0"/>
              <w:adjustRightInd/>
              <w:snapToGrid w:val="0"/>
              <w:spacing w:line="360" w:lineRule="exact"/>
              <w:ind w:left="0" w:leftChars="0" w:firstLine="0" w:firstLineChars="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思茅至江城（整董）高速公路项目，全长80.3公里，项目起于普洱市思茅区南岛河，设T型枢纽互通与既有G8511昆磨高速思小段相接；经老叶寨、石膏箐、菠萝、康平，止于江城县整董镇曼滩村勐绿高速曼滩枢纽互通，接在建的勐醒至江城至绿春公路。全线设置互通立交6座，设服务区2处。主线采用双向四车道高速公路标准建设，设计时速80公里/小时，路基宽度25.5米。同步建设大寨连接线全长9.5公里，一级公路标准，设计时速80公里/小时，路基宽度25.5米。主线初步设计设置桥梁32055米/90座，占主线里程39.60%；设置隧道20081米/16座，其中特长隧道2座、长隧道2座、中隧道5座、短隧道7座，隧道占主线里程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jc w:val="center"/>
        </w:trPr>
        <w:tc>
          <w:tcPr>
            <w:tcW w:w="1071" w:type="dxa"/>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7989" w:type="dxa"/>
            <w:gridSpan w:val="2"/>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有信誉度、融资能力强的国内知名建设企业。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jc w:val="center"/>
        </w:trPr>
        <w:tc>
          <w:tcPr>
            <w:tcW w:w="1071" w:type="dxa"/>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7989" w:type="dxa"/>
            <w:gridSpan w:val="2"/>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BOT+建设期政府补助或其它模式。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jc w:val="center"/>
        </w:trPr>
        <w:tc>
          <w:tcPr>
            <w:tcW w:w="1071" w:type="dxa"/>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7989" w:type="dxa"/>
            <w:gridSpan w:val="2"/>
            <w:vAlign w:val="center"/>
          </w:tcPr>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联系单位：普洱市交通运输局</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sz w:val="24"/>
                <w:szCs w:val="24"/>
                <w:lang w:bidi="ar"/>
              </w:rPr>
            </w:pPr>
            <w:r>
              <w:rPr>
                <w:rFonts w:hint="eastAsia" w:ascii="仿宋_GB2312" w:hAnsi="仿宋_GB2312" w:eastAsia="仿宋_GB2312" w:cs="仿宋_GB2312"/>
                <w:b w:val="0"/>
                <w:bCs/>
                <w:kern w:val="0"/>
                <w:sz w:val="24"/>
                <w:szCs w:val="24"/>
              </w:rPr>
              <w:t>项目联系人：刘国栋</w:t>
            </w:r>
          </w:p>
          <w:p>
            <w:pPr>
              <w:keepNext w:val="0"/>
              <w:keepLines w:val="0"/>
              <w:pageBreakBefore w:val="0"/>
              <w:kinsoku/>
              <w:wordWrap/>
              <w:overflowPunct/>
              <w:topLinePunct w:val="0"/>
              <w:autoSpaceDE/>
              <w:autoSpaceDN/>
              <w:bidi w:val="0"/>
              <w:adjustRightInd/>
              <w:snapToGrid w:val="0"/>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联系电话：13577936917</w:t>
            </w:r>
          </w:p>
        </w:tc>
      </w:tr>
    </w:tbl>
    <w:p>
      <w:pPr>
        <w:adjustRightInd w:val="0"/>
        <w:snapToGrid w:val="0"/>
        <w:spacing w:line="560" w:lineRule="exact"/>
        <w:jc w:val="center"/>
        <w:rPr>
          <w:rFonts w:ascii="方正小标宋简体" w:hAnsi="方正小标宋简体" w:eastAsia="方正小标宋简体" w:cs="方正小标宋简体"/>
          <w:kern w:val="0"/>
          <w:sz w:val="44"/>
          <w:szCs w:val="44"/>
        </w:rPr>
      </w:pPr>
    </w:p>
    <w:p>
      <w:pPr>
        <w:jc w:val="right"/>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sz w:val="44"/>
          <w:szCs w:val="44"/>
          <w:lang w:eastAsia="zh-CN"/>
        </w:rPr>
        <w:t>普洱市</w:t>
      </w:r>
      <w:r>
        <w:rPr>
          <w:rFonts w:hint="eastAsia" w:ascii="方正小标宋简体" w:hAnsi="方正小标宋简体" w:eastAsia="方正小标宋简体" w:cs="方正小标宋简体"/>
          <w:sz w:val="44"/>
          <w:szCs w:val="44"/>
        </w:rPr>
        <w:t>重点招商项目基础信息</w:t>
      </w:r>
      <w:r>
        <w:rPr>
          <w:rFonts w:hint="eastAsia" w:ascii="方正小标宋简体" w:hAnsi="方正小标宋简体" w:eastAsia="方正小标宋简体" w:cs="方正小标宋简体"/>
          <w:sz w:val="44"/>
          <w:szCs w:val="44"/>
          <w:lang w:eastAsia="zh-CN"/>
        </w:rPr>
        <w:t>表</w:t>
      </w:r>
      <w:r>
        <w:rPr>
          <w:rFonts w:hint="eastAsia"/>
          <w:sz w:val="44"/>
          <w:szCs w:val="44"/>
          <w:lang w:val="en-US" w:eastAsia="zh-CN"/>
        </w:rPr>
        <w:t xml:space="preserve">   </w:t>
      </w:r>
      <w:r>
        <w:rPr>
          <w:rFonts w:hint="eastAsia" w:ascii="楷体_GB2312" w:hAnsi="楷体_GB2312" w:eastAsia="楷体_GB2312" w:cs="楷体_GB2312"/>
          <w:sz w:val="28"/>
          <w:szCs w:val="28"/>
          <w:lang w:eastAsia="zh-CN"/>
        </w:rPr>
        <w:t>项目</w:t>
      </w:r>
      <w:r>
        <w:rPr>
          <w:rFonts w:hint="eastAsia" w:ascii="楷体_GB2312" w:hAnsi="楷体_GB2312" w:eastAsia="楷体_GB2312" w:cs="楷体_GB2312"/>
          <w:sz w:val="28"/>
          <w:szCs w:val="28"/>
          <w:lang w:val="en-US" w:eastAsia="zh-CN"/>
        </w:rPr>
        <w:t>-8</w:t>
      </w:r>
    </w:p>
    <w:tbl>
      <w:tblPr>
        <w:tblStyle w:val="2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087"/>
        <w:gridCol w:w="1124"/>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90" w:hRule="atLeast"/>
          <w:jc w:val="center"/>
        </w:trPr>
        <w:tc>
          <w:tcPr>
            <w:tcW w:w="108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项目综述</w:t>
            </w: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项目名称</w:t>
            </w:r>
          </w:p>
        </w:tc>
        <w:tc>
          <w:tcPr>
            <w:tcW w:w="6849" w:type="dxa"/>
            <w:vAlign w:val="center"/>
          </w:tcPr>
          <w:p>
            <w:pPr>
              <w:pStyle w:val="2"/>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普洱市澜沧至孟连（勐阿）高速公路澜沧至孟连段工程项目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416" w:hRule="atLeast"/>
          <w:jc w:val="center"/>
        </w:trPr>
        <w:tc>
          <w:tcPr>
            <w:tcW w:w="108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所属产业</w:t>
            </w:r>
          </w:p>
        </w:tc>
        <w:tc>
          <w:tcPr>
            <w:tcW w:w="6849" w:type="dxa"/>
            <w:vAlign w:val="center"/>
          </w:tcPr>
          <w:p>
            <w:pPr>
              <w:pStyle w:val="2"/>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389" w:hRule="atLeast"/>
          <w:jc w:val="center"/>
        </w:trPr>
        <w:tc>
          <w:tcPr>
            <w:tcW w:w="108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建设地点</w:t>
            </w:r>
          </w:p>
        </w:tc>
        <w:tc>
          <w:tcPr>
            <w:tcW w:w="6849" w:type="dxa"/>
            <w:vAlign w:val="center"/>
          </w:tcPr>
          <w:p>
            <w:pPr>
              <w:pStyle w:val="2"/>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澜沧县、孟连县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98" w:hRule="atLeast"/>
          <w:jc w:val="center"/>
        </w:trPr>
        <w:tc>
          <w:tcPr>
            <w:tcW w:w="108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项目简述</w:t>
            </w:r>
          </w:p>
        </w:tc>
        <w:tc>
          <w:tcPr>
            <w:tcW w:w="6849" w:type="dxa"/>
            <w:vAlign w:val="center"/>
          </w:tcPr>
          <w:p>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项目路线起于澜沧县勐朗镇富本村，顺接思澜高速公路止点，止于孟连县娜允镇芒掌村北侧，顺接规划澜沧至孟连(勐阿)高速公路孟连至勐阿段起点，设孟连南互通式立交连接孟连县城。主线全长49公里，概算投资91亿元，采用双向四车道高速公路标准建设，设计速度80公里/小时，路基宽度25.5米。同步建设2条互通式立交连接线总长4.7公里，采用一级公路标准建设，设计速度60公里/小时，路基宽度20米；桥梁汽车荷载等级采用公路-I级。全线设置桥梁17292米/45座、隧道15773米/17座，桥隧比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515" w:hRule="atLeast"/>
          <w:jc w:val="center"/>
        </w:trPr>
        <w:tc>
          <w:tcPr>
            <w:tcW w:w="1087"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lang w:eastAsia="zh-CN"/>
              </w:rPr>
            </w:pPr>
            <w:r>
              <w:rPr>
                <w:rFonts w:hint="eastAsia" w:ascii="仿宋_GB2312" w:hAnsi="仿宋_GB2312" w:eastAsia="仿宋_GB2312" w:cs="仿宋_GB2312"/>
                <w:b w:val="0"/>
                <w:bCs/>
                <w:kern w:val="0"/>
                <w:sz w:val="24"/>
                <w:szCs w:val="24"/>
                <w:lang w:eastAsia="zh-CN"/>
              </w:rPr>
              <w:t>项目建设</w:t>
            </w: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建设周期</w:t>
            </w:r>
          </w:p>
        </w:tc>
        <w:tc>
          <w:tcPr>
            <w:tcW w:w="684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预计建设工期是3年。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1308" w:hRule="atLeast"/>
          <w:jc w:val="center"/>
        </w:trPr>
        <w:tc>
          <w:tcPr>
            <w:tcW w:w="108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投资估算</w:t>
            </w:r>
          </w:p>
        </w:tc>
        <w:tc>
          <w:tcPr>
            <w:tcW w:w="684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项目的总投资概算批复为91亿元</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color w:val="auto"/>
                <w:sz w:val="24"/>
                <w:szCs w:val="24"/>
              </w:rPr>
              <w:t>根据工可批复，本项目省级按照2000万元/公里补助，预设资本金占总投资的20%，目前本项目已申请发行专项债券12亿元，已到位7.5亿元，剩余额度依据项目进展情况进行申报。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90" w:hRule="atLeast"/>
          <w:jc w:val="center"/>
        </w:trPr>
        <w:tc>
          <w:tcPr>
            <w:tcW w:w="1087"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p>
        </w:tc>
        <w:tc>
          <w:tcPr>
            <w:tcW w:w="1124"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建设内容</w:t>
            </w:r>
          </w:p>
        </w:tc>
        <w:tc>
          <w:tcPr>
            <w:tcW w:w="6849" w:type="dxa"/>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color w:val="auto"/>
                <w:sz w:val="24"/>
                <w:szCs w:val="24"/>
              </w:rPr>
              <w:t>线路全长49公里，概算投资91亿元。路线起于澜沧县勐朗镇富本村,顺接思澜高速公路止点,止于孟连县娜允镇芒掌村北侧,顺接规划澜沧至孟连(勐阿)高速公路孟连至勐阿段起点,设孟连南互通式立交连接孟连县城。设置勐滨、景迈机场、朗勒(枢纽)、孟连北、孟连南5处互通式立交。同步建设2条互通式立交连接线总长4.7公里。主线采用双向四车道高速公路标准建设,设计速度80公里/小时,路基宽度25.5米;连接线采一级公路标准建设,设计速度60公里/小时,路基宽度20米;桥梁汽车荷载等级采用公路-I级。主线初步设计设置桥梁17292米/45座（含立交区），其中大桥34座、中桥11座，桥梁占主线里程35.68%；设置隧道15773米/17座，其中长隧道6座，中隧道6座，短隧道5座，隧道占主线里程32.55%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jc w:val="center"/>
        </w:trPr>
        <w:tc>
          <w:tcPr>
            <w:tcW w:w="108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招商方向</w:t>
            </w:r>
          </w:p>
        </w:tc>
        <w:tc>
          <w:tcPr>
            <w:tcW w:w="7973"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有信誉度、融资能力强的国内知名建设企业。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jc w:val="center"/>
        </w:trPr>
        <w:tc>
          <w:tcPr>
            <w:tcW w:w="108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合作方式</w:t>
            </w:r>
          </w:p>
        </w:tc>
        <w:tc>
          <w:tcPr>
            <w:tcW w:w="7973"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BOT+建设期政府补助或其它模式。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Ex>
        <w:trPr>
          <w:trHeight w:val="1002" w:hRule="atLeast"/>
          <w:jc w:val="center"/>
        </w:trPr>
        <w:tc>
          <w:tcPr>
            <w:tcW w:w="1087"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联系方式</w:t>
            </w:r>
          </w:p>
        </w:tc>
        <w:tc>
          <w:tcPr>
            <w:tcW w:w="7973" w:type="dxa"/>
            <w:gridSpan w:val="2"/>
            <w:vAlign w:val="center"/>
          </w:tcPr>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联系单位：普洱市交通运输局</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sz w:val="24"/>
                <w:szCs w:val="24"/>
                <w:lang w:bidi="ar"/>
              </w:rPr>
            </w:pPr>
            <w:r>
              <w:rPr>
                <w:rFonts w:hint="eastAsia" w:ascii="仿宋_GB2312" w:hAnsi="仿宋_GB2312" w:eastAsia="仿宋_GB2312" w:cs="仿宋_GB2312"/>
                <w:b w:val="0"/>
                <w:bCs/>
                <w:kern w:val="0"/>
                <w:sz w:val="24"/>
                <w:szCs w:val="24"/>
              </w:rPr>
              <w:t>项目联系人：刘国栋</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 w:val="0"/>
                <w:bCs/>
                <w:kern w:val="0"/>
                <w:sz w:val="24"/>
                <w:szCs w:val="24"/>
              </w:rPr>
            </w:pPr>
            <w:r>
              <w:rPr>
                <w:rFonts w:hint="eastAsia" w:ascii="仿宋_GB2312" w:hAnsi="仿宋_GB2312" w:eastAsia="仿宋_GB2312" w:cs="仿宋_GB2312"/>
                <w:b w:val="0"/>
                <w:bCs/>
                <w:kern w:val="0"/>
                <w:sz w:val="24"/>
                <w:szCs w:val="24"/>
              </w:rPr>
              <w:t>联系电话：13577936917</w:t>
            </w:r>
          </w:p>
        </w:tc>
      </w:tr>
      <w:bookmarkEnd w:id="1"/>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2" w:name="_GoBack"/>
    </w:p>
    <w:bookmarkEnd w:id="2"/>
    <w:sectPr>
      <w:headerReference r:id="rId3" w:type="default"/>
      <w:footerReference r:id="rId4" w:type="default"/>
      <w:pgSz w:w="11906" w:h="16838"/>
      <w:pgMar w:top="1701" w:right="1587" w:bottom="1417" w:left="1587"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embedRegular r:id="rId1" w:fontKey="{2AE1DBFD-994D-456D-9DB4-155B256B3CA6}"/>
  </w:font>
  <w:font w:name="方正仿宋简体">
    <w:panose1 w:val="02010601030101010101"/>
    <w:charset w:val="86"/>
    <w:family w:val="auto"/>
    <w:pitch w:val="default"/>
    <w:sig w:usb0="00000001" w:usb1="080E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embedRegular r:id="rId2" w:fontKey="{77A00636-AA14-4DCF-9D9C-8CB414A4E504}"/>
  </w:font>
  <w:font w:name="仿宋_GB2312">
    <w:panose1 w:val="02010609030101010101"/>
    <w:charset w:val="86"/>
    <w:family w:val="modern"/>
    <w:pitch w:val="default"/>
    <w:sig w:usb0="00000001" w:usb1="080E0000" w:usb2="00000000" w:usb3="00000000" w:csb0="00040000" w:csb1="00000000"/>
    <w:embedRegular r:id="rId3" w:fontKey="{09690702-CF79-4ABD-BB6F-3BF7CE1F13C8}"/>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ascii="仿宋_GB2312" w:hAnsi="仿宋_GB2312" w:eastAsia="仿宋_GB2312" w:cs="仿宋_GB2312"/>
                              <w:sz w:val="26"/>
                              <w:szCs w:val="26"/>
                            </w:rPr>
                          </w:pPr>
                          <w:r>
                            <w:rPr>
                              <w:rFonts w:hint="eastAsia" w:ascii="仿宋_GB2312" w:hAnsi="仿宋_GB2312" w:eastAsia="仿宋_GB2312" w:cs="仿宋_GB2312"/>
                              <w:sz w:val="26"/>
                              <w:szCs w:val="26"/>
                            </w:rPr>
                            <w:t>－</w:t>
                          </w:r>
                          <w:r>
                            <w:rPr>
                              <w:rFonts w:hint="eastAsia" w:ascii="仿宋_GB2312" w:hAnsi="仿宋_GB2312" w:eastAsia="仿宋_GB2312" w:cs="仿宋_GB2312"/>
                              <w:sz w:val="26"/>
                              <w:szCs w:val="26"/>
                            </w:rPr>
                            <w:fldChar w:fldCharType="begin"/>
                          </w:r>
                          <w:r>
                            <w:rPr>
                              <w:rFonts w:hint="eastAsia" w:ascii="仿宋_GB2312" w:hAnsi="仿宋_GB2312" w:eastAsia="仿宋_GB2312" w:cs="仿宋_GB2312"/>
                              <w:sz w:val="26"/>
                              <w:szCs w:val="26"/>
                            </w:rPr>
                            <w:instrText xml:space="preserve"> PAGE  \* MERGEFORMAT </w:instrText>
                          </w:r>
                          <w:r>
                            <w:rPr>
                              <w:rFonts w:hint="eastAsia" w:ascii="仿宋_GB2312" w:hAnsi="仿宋_GB2312" w:eastAsia="仿宋_GB2312" w:cs="仿宋_GB2312"/>
                              <w:sz w:val="26"/>
                              <w:szCs w:val="26"/>
                            </w:rPr>
                            <w:fldChar w:fldCharType="separate"/>
                          </w:r>
                          <w:r>
                            <w:rPr>
                              <w:rFonts w:ascii="仿宋_GB2312" w:hAnsi="仿宋_GB2312" w:eastAsia="仿宋_GB2312" w:cs="仿宋_GB2312"/>
                              <w:sz w:val="26"/>
                              <w:szCs w:val="26"/>
                            </w:rPr>
                            <w:t>2</w:t>
                          </w:r>
                          <w:r>
                            <w:rPr>
                              <w:rFonts w:hint="eastAsia" w:ascii="仿宋_GB2312" w:hAnsi="仿宋_GB2312" w:eastAsia="仿宋_GB2312" w:cs="仿宋_GB2312"/>
                              <w:sz w:val="26"/>
                              <w:szCs w:val="26"/>
                            </w:rPr>
                            <w:fldChar w:fldCharType="end"/>
                          </w:r>
                          <w:r>
                            <w:rPr>
                              <w:rFonts w:hint="eastAsia" w:ascii="仿宋_GB2312" w:hAnsi="仿宋_GB2312" w:eastAsia="仿宋_GB2312" w:cs="仿宋_GB2312"/>
                              <w:sz w:val="26"/>
                              <w:szCs w:val="26"/>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8"/>
                      <w:rPr>
                        <w:rFonts w:ascii="仿宋_GB2312" w:hAnsi="仿宋_GB2312" w:eastAsia="仿宋_GB2312" w:cs="仿宋_GB2312"/>
                        <w:sz w:val="26"/>
                        <w:szCs w:val="26"/>
                      </w:rPr>
                    </w:pPr>
                    <w:r>
                      <w:rPr>
                        <w:rFonts w:hint="eastAsia" w:ascii="仿宋_GB2312" w:hAnsi="仿宋_GB2312" w:eastAsia="仿宋_GB2312" w:cs="仿宋_GB2312"/>
                        <w:sz w:val="26"/>
                        <w:szCs w:val="26"/>
                      </w:rPr>
                      <w:t>－</w:t>
                    </w:r>
                    <w:r>
                      <w:rPr>
                        <w:rFonts w:hint="eastAsia" w:ascii="仿宋_GB2312" w:hAnsi="仿宋_GB2312" w:eastAsia="仿宋_GB2312" w:cs="仿宋_GB2312"/>
                        <w:sz w:val="26"/>
                        <w:szCs w:val="26"/>
                      </w:rPr>
                      <w:fldChar w:fldCharType="begin"/>
                    </w:r>
                    <w:r>
                      <w:rPr>
                        <w:rFonts w:hint="eastAsia" w:ascii="仿宋_GB2312" w:hAnsi="仿宋_GB2312" w:eastAsia="仿宋_GB2312" w:cs="仿宋_GB2312"/>
                        <w:sz w:val="26"/>
                        <w:szCs w:val="26"/>
                      </w:rPr>
                      <w:instrText xml:space="preserve"> PAGE  \* MERGEFORMAT </w:instrText>
                    </w:r>
                    <w:r>
                      <w:rPr>
                        <w:rFonts w:hint="eastAsia" w:ascii="仿宋_GB2312" w:hAnsi="仿宋_GB2312" w:eastAsia="仿宋_GB2312" w:cs="仿宋_GB2312"/>
                        <w:sz w:val="26"/>
                        <w:szCs w:val="26"/>
                      </w:rPr>
                      <w:fldChar w:fldCharType="separate"/>
                    </w:r>
                    <w:r>
                      <w:rPr>
                        <w:rFonts w:ascii="仿宋_GB2312" w:hAnsi="仿宋_GB2312" w:eastAsia="仿宋_GB2312" w:cs="仿宋_GB2312"/>
                        <w:sz w:val="26"/>
                        <w:szCs w:val="26"/>
                      </w:rPr>
                      <w:t>2</w:t>
                    </w:r>
                    <w:r>
                      <w:rPr>
                        <w:rFonts w:hint="eastAsia" w:ascii="仿宋_GB2312" w:hAnsi="仿宋_GB2312" w:eastAsia="仿宋_GB2312" w:cs="仿宋_GB2312"/>
                        <w:sz w:val="26"/>
                        <w:szCs w:val="26"/>
                      </w:rPr>
                      <w:fldChar w:fldCharType="end"/>
                    </w:r>
                    <w:r>
                      <w:rPr>
                        <w:rFonts w:hint="eastAsia" w:ascii="仿宋_GB2312" w:hAnsi="仿宋_GB2312" w:eastAsia="仿宋_GB2312" w:cs="仿宋_GB2312"/>
                        <w:sz w:val="26"/>
                        <w:szCs w:val="26"/>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5OGU2YzkxZDlhYzFjZWQzM2ZlZDgxMmY0YmRmN2EifQ=="/>
  </w:docVars>
  <w:rsids>
    <w:rsidRoot w:val="00172A27"/>
    <w:rsid w:val="00072DD0"/>
    <w:rsid w:val="000E1ADA"/>
    <w:rsid w:val="00163703"/>
    <w:rsid w:val="00172A27"/>
    <w:rsid w:val="00192D6E"/>
    <w:rsid w:val="001A540B"/>
    <w:rsid w:val="00224B6F"/>
    <w:rsid w:val="00312A48"/>
    <w:rsid w:val="003F293E"/>
    <w:rsid w:val="004F584A"/>
    <w:rsid w:val="006F1B3D"/>
    <w:rsid w:val="006F423E"/>
    <w:rsid w:val="0071106B"/>
    <w:rsid w:val="008A7D6F"/>
    <w:rsid w:val="00AA51C3"/>
    <w:rsid w:val="00B0045C"/>
    <w:rsid w:val="00BD42DB"/>
    <w:rsid w:val="00D426AD"/>
    <w:rsid w:val="00DA62D5"/>
    <w:rsid w:val="00DC51D6"/>
    <w:rsid w:val="00DF69C3"/>
    <w:rsid w:val="00E573A6"/>
    <w:rsid w:val="00E7647B"/>
    <w:rsid w:val="00E84A5D"/>
    <w:rsid w:val="0118795A"/>
    <w:rsid w:val="011C5624"/>
    <w:rsid w:val="013A0DB1"/>
    <w:rsid w:val="01483B03"/>
    <w:rsid w:val="014B24B7"/>
    <w:rsid w:val="014D0D17"/>
    <w:rsid w:val="018F6426"/>
    <w:rsid w:val="01B3346F"/>
    <w:rsid w:val="01DF65A9"/>
    <w:rsid w:val="01F479E5"/>
    <w:rsid w:val="01FF0067"/>
    <w:rsid w:val="020C0F3E"/>
    <w:rsid w:val="02301310"/>
    <w:rsid w:val="0237670B"/>
    <w:rsid w:val="023C4117"/>
    <w:rsid w:val="023F1A52"/>
    <w:rsid w:val="024F2F1C"/>
    <w:rsid w:val="026102FA"/>
    <w:rsid w:val="027F274A"/>
    <w:rsid w:val="027F41E7"/>
    <w:rsid w:val="02943245"/>
    <w:rsid w:val="02D464AF"/>
    <w:rsid w:val="02ED67F5"/>
    <w:rsid w:val="02FD16B7"/>
    <w:rsid w:val="030F1D26"/>
    <w:rsid w:val="031109F4"/>
    <w:rsid w:val="031D68A0"/>
    <w:rsid w:val="03627707"/>
    <w:rsid w:val="03640DAD"/>
    <w:rsid w:val="03687E97"/>
    <w:rsid w:val="038643DD"/>
    <w:rsid w:val="038812F3"/>
    <w:rsid w:val="03B2689C"/>
    <w:rsid w:val="03BA1AF3"/>
    <w:rsid w:val="03DB3336"/>
    <w:rsid w:val="03E26D9A"/>
    <w:rsid w:val="03E3711A"/>
    <w:rsid w:val="04064177"/>
    <w:rsid w:val="04130C92"/>
    <w:rsid w:val="041620B7"/>
    <w:rsid w:val="048F71EE"/>
    <w:rsid w:val="04DA2BF8"/>
    <w:rsid w:val="04DE3394"/>
    <w:rsid w:val="04F8228D"/>
    <w:rsid w:val="04F85F38"/>
    <w:rsid w:val="050567C5"/>
    <w:rsid w:val="0509177B"/>
    <w:rsid w:val="05637654"/>
    <w:rsid w:val="057C53A7"/>
    <w:rsid w:val="057E6D13"/>
    <w:rsid w:val="05913BA6"/>
    <w:rsid w:val="0591547A"/>
    <w:rsid w:val="059C429B"/>
    <w:rsid w:val="05C73AF9"/>
    <w:rsid w:val="05D1580A"/>
    <w:rsid w:val="05DC495F"/>
    <w:rsid w:val="05E95E44"/>
    <w:rsid w:val="06122CD7"/>
    <w:rsid w:val="061936BC"/>
    <w:rsid w:val="06283B90"/>
    <w:rsid w:val="062E6AD8"/>
    <w:rsid w:val="06384196"/>
    <w:rsid w:val="06721760"/>
    <w:rsid w:val="0672476E"/>
    <w:rsid w:val="06816F64"/>
    <w:rsid w:val="06AA5962"/>
    <w:rsid w:val="06CA07E0"/>
    <w:rsid w:val="06FE3974"/>
    <w:rsid w:val="07061F2D"/>
    <w:rsid w:val="071F4B3F"/>
    <w:rsid w:val="072C076D"/>
    <w:rsid w:val="074841DA"/>
    <w:rsid w:val="0750562E"/>
    <w:rsid w:val="0757697D"/>
    <w:rsid w:val="07892535"/>
    <w:rsid w:val="078D2FBA"/>
    <w:rsid w:val="079A4838"/>
    <w:rsid w:val="07B83FD2"/>
    <w:rsid w:val="081675A9"/>
    <w:rsid w:val="082F594C"/>
    <w:rsid w:val="08354852"/>
    <w:rsid w:val="08414661"/>
    <w:rsid w:val="0888740E"/>
    <w:rsid w:val="08A35AE5"/>
    <w:rsid w:val="08BA6364"/>
    <w:rsid w:val="08BE6517"/>
    <w:rsid w:val="08C43E00"/>
    <w:rsid w:val="08C726EE"/>
    <w:rsid w:val="08F500CF"/>
    <w:rsid w:val="08FE07D6"/>
    <w:rsid w:val="091B1136"/>
    <w:rsid w:val="092A12A5"/>
    <w:rsid w:val="092F7A4B"/>
    <w:rsid w:val="0954755C"/>
    <w:rsid w:val="09773452"/>
    <w:rsid w:val="09A55D24"/>
    <w:rsid w:val="09BE2D42"/>
    <w:rsid w:val="09C77ACE"/>
    <w:rsid w:val="09C87DE7"/>
    <w:rsid w:val="0A004608"/>
    <w:rsid w:val="0A1B3603"/>
    <w:rsid w:val="0A380B66"/>
    <w:rsid w:val="0A6427FE"/>
    <w:rsid w:val="0A883069"/>
    <w:rsid w:val="0A944A2E"/>
    <w:rsid w:val="0A9E700D"/>
    <w:rsid w:val="0AA44EBF"/>
    <w:rsid w:val="0ABC1A9C"/>
    <w:rsid w:val="0ACE7416"/>
    <w:rsid w:val="0AD1194A"/>
    <w:rsid w:val="0AD25E0C"/>
    <w:rsid w:val="0ADD6A6C"/>
    <w:rsid w:val="0AE47DFA"/>
    <w:rsid w:val="0B04020E"/>
    <w:rsid w:val="0B1E11D2"/>
    <w:rsid w:val="0B223ABE"/>
    <w:rsid w:val="0B272194"/>
    <w:rsid w:val="0B422C5A"/>
    <w:rsid w:val="0B496256"/>
    <w:rsid w:val="0B504D2C"/>
    <w:rsid w:val="0B90681E"/>
    <w:rsid w:val="0BA11937"/>
    <w:rsid w:val="0BED19C8"/>
    <w:rsid w:val="0BEF6990"/>
    <w:rsid w:val="0C0C329C"/>
    <w:rsid w:val="0C6A717B"/>
    <w:rsid w:val="0C8A78A5"/>
    <w:rsid w:val="0CA01714"/>
    <w:rsid w:val="0CA97BF7"/>
    <w:rsid w:val="0CB91703"/>
    <w:rsid w:val="0CC950CC"/>
    <w:rsid w:val="0D11533F"/>
    <w:rsid w:val="0D2C5FB8"/>
    <w:rsid w:val="0D321760"/>
    <w:rsid w:val="0D4F4512"/>
    <w:rsid w:val="0D51729D"/>
    <w:rsid w:val="0D5F78DD"/>
    <w:rsid w:val="0D6C4B6C"/>
    <w:rsid w:val="0DB5067F"/>
    <w:rsid w:val="0E0066F5"/>
    <w:rsid w:val="0E0E42D3"/>
    <w:rsid w:val="0E0F6BA3"/>
    <w:rsid w:val="0E0F7D98"/>
    <w:rsid w:val="0E1320C1"/>
    <w:rsid w:val="0E1B4A8F"/>
    <w:rsid w:val="0E330EB6"/>
    <w:rsid w:val="0E3C2E56"/>
    <w:rsid w:val="0E672C84"/>
    <w:rsid w:val="0E794779"/>
    <w:rsid w:val="0E846241"/>
    <w:rsid w:val="0E8A3665"/>
    <w:rsid w:val="0E9011B7"/>
    <w:rsid w:val="0EAE10EA"/>
    <w:rsid w:val="0EB1468E"/>
    <w:rsid w:val="0EB73CA4"/>
    <w:rsid w:val="0EB900E7"/>
    <w:rsid w:val="0EC67B69"/>
    <w:rsid w:val="0EC86F2E"/>
    <w:rsid w:val="0EF436A8"/>
    <w:rsid w:val="0EFE4003"/>
    <w:rsid w:val="0F142620"/>
    <w:rsid w:val="0F3621CA"/>
    <w:rsid w:val="0F363D61"/>
    <w:rsid w:val="0F364488"/>
    <w:rsid w:val="0F421E15"/>
    <w:rsid w:val="0F5137A7"/>
    <w:rsid w:val="0F594B94"/>
    <w:rsid w:val="0F645E51"/>
    <w:rsid w:val="0FC02E36"/>
    <w:rsid w:val="0FD3535E"/>
    <w:rsid w:val="0FFF194A"/>
    <w:rsid w:val="10097E60"/>
    <w:rsid w:val="10101932"/>
    <w:rsid w:val="102C3EA8"/>
    <w:rsid w:val="103F52BD"/>
    <w:rsid w:val="104059F0"/>
    <w:rsid w:val="105B2B14"/>
    <w:rsid w:val="105C1588"/>
    <w:rsid w:val="105D05DC"/>
    <w:rsid w:val="107C430F"/>
    <w:rsid w:val="10880D5B"/>
    <w:rsid w:val="10B66B86"/>
    <w:rsid w:val="11147113"/>
    <w:rsid w:val="112A564F"/>
    <w:rsid w:val="112C57BA"/>
    <w:rsid w:val="113939DC"/>
    <w:rsid w:val="115C7309"/>
    <w:rsid w:val="118702B0"/>
    <w:rsid w:val="119222F9"/>
    <w:rsid w:val="119C2C8B"/>
    <w:rsid w:val="11A27521"/>
    <w:rsid w:val="11A67086"/>
    <w:rsid w:val="11AF57CF"/>
    <w:rsid w:val="11C90B75"/>
    <w:rsid w:val="11EC6D69"/>
    <w:rsid w:val="12260B66"/>
    <w:rsid w:val="12326FCA"/>
    <w:rsid w:val="124844FE"/>
    <w:rsid w:val="12815485"/>
    <w:rsid w:val="12971320"/>
    <w:rsid w:val="130A5912"/>
    <w:rsid w:val="131E4E25"/>
    <w:rsid w:val="134A3CB3"/>
    <w:rsid w:val="134B1866"/>
    <w:rsid w:val="137B448F"/>
    <w:rsid w:val="138A5C4E"/>
    <w:rsid w:val="13A02C42"/>
    <w:rsid w:val="13AA6BB7"/>
    <w:rsid w:val="13C13E2A"/>
    <w:rsid w:val="13C64F9A"/>
    <w:rsid w:val="13FB2EBA"/>
    <w:rsid w:val="14157670"/>
    <w:rsid w:val="144151EE"/>
    <w:rsid w:val="14571BCB"/>
    <w:rsid w:val="14877087"/>
    <w:rsid w:val="149B17DB"/>
    <w:rsid w:val="14BC213B"/>
    <w:rsid w:val="14D567C0"/>
    <w:rsid w:val="14F06DA7"/>
    <w:rsid w:val="152877E3"/>
    <w:rsid w:val="152C2C8E"/>
    <w:rsid w:val="154F079C"/>
    <w:rsid w:val="154F5AAF"/>
    <w:rsid w:val="155E25A9"/>
    <w:rsid w:val="155F1B1B"/>
    <w:rsid w:val="156E1053"/>
    <w:rsid w:val="157B29D2"/>
    <w:rsid w:val="158222F9"/>
    <w:rsid w:val="15907C2A"/>
    <w:rsid w:val="15AE43B1"/>
    <w:rsid w:val="15EB4733"/>
    <w:rsid w:val="15F27E7A"/>
    <w:rsid w:val="162B2AAF"/>
    <w:rsid w:val="163669E0"/>
    <w:rsid w:val="1637348B"/>
    <w:rsid w:val="1658160E"/>
    <w:rsid w:val="166159DA"/>
    <w:rsid w:val="16BA569E"/>
    <w:rsid w:val="16CC49E5"/>
    <w:rsid w:val="16E70D66"/>
    <w:rsid w:val="16E70DDB"/>
    <w:rsid w:val="16EF08B5"/>
    <w:rsid w:val="17236E09"/>
    <w:rsid w:val="17410D50"/>
    <w:rsid w:val="17442D89"/>
    <w:rsid w:val="17817DB6"/>
    <w:rsid w:val="179B38AC"/>
    <w:rsid w:val="179D0EB5"/>
    <w:rsid w:val="17A26DD4"/>
    <w:rsid w:val="17A6212C"/>
    <w:rsid w:val="17CE44BB"/>
    <w:rsid w:val="17E07B9B"/>
    <w:rsid w:val="17E14E71"/>
    <w:rsid w:val="17E25D33"/>
    <w:rsid w:val="18524331"/>
    <w:rsid w:val="185617DB"/>
    <w:rsid w:val="185E6904"/>
    <w:rsid w:val="18736574"/>
    <w:rsid w:val="187E6F5B"/>
    <w:rsid w:val="18806121"/>
    <w:rsid w:val="188E75F7"/>
    <w:rsid w:val="18984B51"/>
    <w:rsid w:val="189F2CC6"/>
    <w:rsid w:val="18A560F2"/>
    <w:rsid w:val="18AE51C9"/>
    <w:rsid w:val="18B741AF"/>
    <w:rsid w:val="18BE3749"/>
    <w:rsid w:val="18DF4C75"/>
    <w:rsid w:val="18E666FD"/>
    <w:rsid w:val="18FD0E58"/>
    <w:rsid w:val="190D01F1"/>
    <w:rsid w:val="1931474D"/>
    <w:rsid w:val="19330057"/>
    <w:rsid w:val="1945358A"/>
    <w:rsid w:val="19886CF6"/>
    <w:rsid w:val="19912505"/>
    <w:rsid w:val="19A613EE"/>
    <w:rsid w:val="19B54A4D"/>
    <w:rsid w:val="19BE7614"/>
    <w:rsid w:val="19E55ECF"/>
    <w:rsid w:val="19E71F51"/>
    <w:rsid w:val="19F82288"/>
    <w:rsid w:val="1A461E55"/>
    <w:rsid w:val="1A4E45C9"/>
    <w:rsid w:val="1A6D7E21"/>
    <w:rsid w:val="1A722C0B"/>
    <w:rsid w:val="1A9A335E"/>
    <w:rsid w:val="1B047934"/>
    <w:rsid w:val="1B250995"/>
    <w:rsid w:val="1B325F26"/>
    <w:rsid w:val="1B5C4D8E"/>
    <w:rsid w:val="1BAC30F7"/>
    <w:rsid w:val="1BDB6596"/>
    <w:rsid w:val="1BF36A76"/>
    <w:rsid w:val="1C121B50"/>
    <w:rsid w:val="1C150D5A"/>
    <w:rsid w:val="1C286EA5"/>
    <w:rsid w:val="1C3421F1"/>
    <w:rsid w:val="1C3A3E86"/>
    <w:rsid w:val="1C3D737F"/>
    <w:rsid w:val="1C982B99"/>
    <w:rsid w:val="1CAB25B1"/>
    <w:rsid w:val="1CAD2C79"/>
    <w:rsid w:val="1CC129C6"/>
    <w:rsid w:val="1CC870E4"/>
    <w:rsid w:val="1CCD60E6"/>
    <w:rsid w:val="1CE57450"/>
    <w:rsid w:val="1D1D43E3"/>
    <w:rsid w:val="1D46690D"/>
    <w:rsid w:val="1D4A230C"/>
    <w:rsid w:val="1D5160F9"/>
    <w:rsid w:val="1D663855"/>
    <w:rsid w:val="1D713E69"/>
    <w:rsid w:val="1D9C366F"/>
    <w:rsid w:val="1DBB0E8E"/>
    <w:rsid w:val="1DDFE18D"/>
    <w:rsid w:val="1DF4589A"/>
    <w:rsid w:val="1E120AB4"/>
    <w:rsid w:val="1E1E36AF"/>
    <w:rsid w:val="1E1F61C8"/>
    <w:rsid w:val="1E227378"/>
    <w:rsid w:val="1E37446D"/>
    <w:rsid w:val="1E3D4372"/>
    <w:rsid w:val="1E537704"/>
    <w:rsid w:val="1E5B5448"/>
    <w:rsid w:val="1E5D709F"/>
    <w:rsid w:val="1E6D66D6"/>
    <w:rsid w:val="1E827BFE"/>
    <w:rsid w:val="1E954DAB"/>
    <w:rsid w:val="1E9A4E16"/>
    <w:rsid w:val="1EB871BD"/>
    <w:rsid w:val="1ED114E7"/>
    <w:rsid w:val="1EE413A2"/>
    <w:rsid w:val="1F245A89"/>
    <w:rsid w:val="1F30579B"/>
    <w:rsid w:val="1F3830B3"/>
    <w:rsid w:val="1F4720E9"/>
    <w:rsid w:val="1F687ECC"/>
    <w:rsid w:val="1F7E0652"/>
    <w:rsid w:val="1FCD0D4F"/>
    <w:rsid w:val="1FE04C89"/>
    <w:rsid w:val="1FEF3BC4"/>
    <w:rsid w:val="200D23BA"/>
    <w:rsid w:val="20101276"/>
    <w:rsid w:val="201B28B6"/>
    <w:rsid w:val="202A1863"/>
    <w:rsid w:val="203C098B"/>
    <w:rsid w:val="205A38F0"/>
    <w:rsid w:val="207D28F6"/>
    <w:rsid w:val="209952A7"/>
    <w:rsid w:val="20AB244B"/>
    <w:rsid w:val="20DB3A0B"/>
    <w:rsid w:val="211B657F"/>
    <w:rsid w:val="211D0AC3"/>
    <w:rsid w:val="213B4585"/>
    <w:rsid w:val="214B4BD8"/>
    <w:rsid w:val="2155679B"/>
    <w:rsid w:val="2189307C"/>
    <w:rsid w:val="21925315"/>
    <w:rsid w:val="21BB1DC8"/>
    <w:rsid w:val="21E679B3"/>
    <w:rsid w:val="21EF738F"/>
    <w:rsid w:val="22241DAD"/>
    <w:rsid w:val="225A65A3"/>
    <w:rsid w:val="226E1C50"/>
    <w:rsid w:val="22990C28"/>
    <w:rsid w:val="22C77F2A"/>
    <w:rsid w:val="22C84D9B"/>
    <w:rsid w:val="22E663C9"/>
    <w:rsid w:val="22FB0B93"/>
    <w:rsid w:val="23215DB3"/>
    <w:rsid w:val="232607F4"/>
    <w:rsid w:val="234645A0"/>
    <w:rsid w:val="235257E0"/>
    <w:rsid w:val="2379444D"/>
    <w:rsid w:val="237A34C8"/>
    <w:rsid w:val="237A7963"/>
    <w:rsid w:val="238E41B7"/>
    <w:rsid w:val="238F0E52"/>
    <w:rsid w:val="23C6330C"/>
    <w:rsid w:val="23C73524"/>
    <w:rsid w:val="23C8772C"/>
    <w:rsid w:val="23C97BEF"/>
    <w:rsid w:val="23FD0430"/>
    <w:rsid w:val="245206C7"/>
    <w:rsid w:val="245A1002"/>
    <w:rsid w:val="24606DFB"/>
    <w:rsid w:val="24870CA1"/>
    <w:rsid w:val="249132D3"/>
    <w:rsid w:val="24AE273B"/>
    <w:rsid w:val="24E626C3"/>
    <w:rsid w:val="25026777"/>
    <w:rsid w:val="250545AB"/>
    <w:rsid w:val="250736C3"/>
    <w:rsid w:val="252E2AFD"/>
    <w:rsid w:val="25441769"/>
    <w:rsid w:val="25547648"/>
    <w:rsid w:val="255721F6"/>
    <w:rsid w:val="25640DBC"/>
    <w:rsid w:val="258B16AA"/>
    <w:rsid w:val="25915C68"/>
    <w:rsid w:val="25A16C5E"/>
    <w:rsid w:val="25B45C54"/>
    <w:rsid w:val="25B678B1"/>
    <w:rsid w:val="260F40F7"/>
    <w:rsid w:val="263E09C2"/>
    <w:rsid w:val="2689794F"/>
    <w:rsid w:val="26B37C16"/>
    <w:rsid w:val="26D5016A"/>
    <w:rsid w:val="26F07E57"/>
    <w:rsid w:val="26F95949"/>
    <w:rsid w:val="26FD2518"/>
    <w:rsid w:val="271643DD"/>
    <w:rsid w:val="271E26CC"/>
    <w:rsid w:val="27260D63"/>
    <w:rsid w:val="27267FFF"/>
    <w:rsid w:val="27513B6C"/>
    <w:rsid w:val="275C6670"/>
    <w:rsid w:val="27675AB8"/>
    <w:rsid w:val="27683E0D"/>
    <w:rsid w:val="277A0F83"/>
    <w:rsid w:val="278A5307"/>
    <w:rsid w:val="27906DD1"/>
    <w:rsid w:val="27AD5EF5"/>
    <w:rsid w:val="27D474D1"/>
    <w:rsid w:val="28103DB2"/>
    <w:rsid w:val="28A110AE"/>
    <w:rsid w:val="28BB613B"/>
    <w:rsid w:val="28C01B93"/>
    <w:rsid w:val="28D61D98"/>
    <w:rsid w:val="28DF0A01"/>
    <w:rsid w:val="28F562FC"/>
    <w:rsid w:val="29030872"/>
    <w:rsid w:val="297C1E36"/>
    <w:rsid w:val="29A90E48"/>
    <w:rsid w:val="29C273E5"/>
    <w:rsid w:val="29CB59B7"/>
    <w:rsid w:val="29CF5088"/>
    <w:rsid w:val="29DA0F4D"/>
    <w:rsid w:val="29DF7024"/>
    <w:rsid w:val="29EA6657"/>
    <w:rsid w:val="2A0A1A32"/>
    <w:rsid w:val="2A160FE5"/>
    <w:rsid w:val="2A2B36BB"/>
    <w:rsid w:val="2A301F49"/>
    <w:rsid w:val="2A375D41"/>
    <w:rsid w:val="2A4014EC"/>
    <w:rsid w:val="2A43173D"/>
    <w:rsid w:val="2A496D19"/>
    <w:rsid w:val="2A4A2838"/>
    <w:rsid w:val="2A4B0E6C"/>
    <w:rsid w:val="2ACF0B90"/>
    <w:rsid w:val="2AEA3EB9"/>
    <w:rsid w:val="2AFA4010"/>
    <w:rsid w:val="2B020304"/>
    <w:rsid w:val="2B0A2E5C"/>
    <w:rsid w:val="2B1F0FD1"/>
    <w:rsid w:val="2B3B24C1"/>
    <w:rsid w:val="2B3B3EA5"/>
    <w:rsid w:val="2B855DA8"/>
    <w:rsid w:val="2B911F7F"/>
    <w:rsid w:val="2B940F71"/>
    <w:rsid w:val="2BD46C94"/>
    <w:rsid w:val="2BE01171"/>
    <w:rsid w:val="2C007680"/>
    <w:rsid w:val="2C0B6E57"/>
    <w:rsid w:val="2C203066"/>
    <w:rsid w:val="2C254FE6"/>
    <w:rsid w:val="2C4122C0"/>
    <w:rsid w:val="2C594A93"/>
    <w:rsid w:val="2C6D63F5"/>
    <w:rsid w:val="2C77303D"/>
    <w:rsid w:val="2C9C58FE"/>
    <w:rsid w:val="2C9E5B58"/>
    <w:rsid w:val="2CC649C0"/>
    <w:rsid w:val="2CC73710"/>
    <w:rsid w:val="2CD62BCF"/>
    <w:rsid w:val="2CF47104"/>
    <w:rsid w:val="2CF7648D"/>
    <w:rsid w:val="2CFA3595"/>
    <w:rsid w:val="2D454CC6"/>
    <w:rsid w:val="2D790198"/>
    <w:rsid w:val="2D7A4595"/>
    <w:rsid w:val="2DA25026"/>
    <w:rsid w:val="2DAA4C3A"/>
    <w:rsid w:val="2DB11D94"/>
    <w:rsid w:val="2DB82E5B"/>
    <w:rsid w:val="2DC807A9"/>
    <w:rsid w:val="2DE97352"/>
    <w:rsid w:val="2E6306FF"/>
    <w:rsid w:val="2E6A0FCB"/>
    <w:rsid w:val="2E6D391E"/>
    <w:rsid w:val="2E7D5C6C"/>
    <w:rsid w:val="2E8F2A04"/>
    <w:rsid w:val="2E933BB9"/>
    <w:rsid w:val="2EDD6273"/>
    <w:rsid w:val="2EED753D"/>
    <w:rsid w:val="2EFD6F86"/>
    <w:rsid w:val="2F16621D"/>
    <w:rsid w:val="2F177FD0"/>
    <w:rsid w:val="2F1962BF"/>
    <w:rsid w:val="2F2B7F94"/>
    <w:rsid w:val="2FAE2ECF"/>
    <w:rsid w:val="2FBC60C4"/>
    <w:rsid w:val="2FC327CC"/>
    <w:rsid w:val="2FC722BC"/>
    <w:rsid w:val="2FC87254"/>
    <w:rsid w:val="2FCF7DDC"/>
    <w:rsid w:val="2FDB0BB0"/>
    <w:rsid w:val="2FDB0C31"/>
    <w:rsid w:val="2FFA50CF"/>
    <w:rsid w:val="2FFE0C89"/>
    <w:rsid w:val="3002428C"/>
    <w:rsid w:val="300F6377"/>
    <w:rsid w:val="3027670D"/>
    <w:rsid w:val="303B0AB4"/>
    <w:rsid w:val="305E40D6"/>
    <w:rsid w:val="30664D34"/>
    <w:rsid w:val="30AA045D"/>
    <w:rsid w:val="31026C3F"/>
    <w:rsid w:val="312645DF"/>
    <w:rsid w:val="315E765D"/>
    <w:rsid w:val="31600C73"/>
    <w:rsid w:val="31B10B31"/>
    <w:rsid w:val="31D84DB6"/>
    <w:rsid w:val="31E714C2"/>
    <w:rsid w:val="31F46978"/>
    <w:rsid w:val="32051B82"/>
    <w:rsid w:val="32170A33"/>
    <w:rsid w:val="32254538"/>
    <w:rsid w:val="32281956"/>
    <w:rsid w:val="32372E28"/>
    <w:rsid w:val="32387833"/>
    <w:rsid w:val="32477B13"/>
    <w:rsid w:val="32600FE4"/>
    <w:rsid w:val="32637C15"/>
    <w:rsid w:val="32997D0E"/>
    <w:rsid w:val="32A22B66"/>
    <w:rsid w:val="32BA2718"/>
    <w:rsid w:val="32C07861"/>
    <w:rsid w:val="32ED119F"/>
    <w:rsid w:val="330A690F"/>
    <w:rsid w:val="33244988"/>
    <w:rsid w:val="333A7874"/>
    <w:rsid w:val="33494D0D"/>
    <w:rsid w:val="334E0DA0"/>
    <w:rsid w:val="33E0468D"/>
    <w:rsid w:val="33F12092"/>
    <w:rsid w:val="33F234AA"/>
    <w:rsid w:val="34036F03"/>
    <w:rsid w:val="342933EF"/>
    <w:rsid w:val="343076E0"/>
    <w:rsid w:val="34370C35"/>
    <w:rsid w:val="343A7E9E"/>
    <w:rsid w:val="343C54EE"/>
    <w:rsid w:val="344E2692"/>
    <w:rsid w:val="347B2993"/>
    <w:rsid w:val="34831710"/>
    <w:rsid w:val="349D12FC"/>
    <w:rsid w:val="34A54187"/>
    <w:rsid w:val="34C30F35"/>
    <w:rsid w:val="34C70EA7"/>
    <w:rsid w:val="34E47892"/>
    <w:rsid w:val="34ED28B8"/>
    <w:rsid w:val="34FA2D19"/>
    <w:rsid w:val="34FC5EBE"/>
    <w:rsid w:val="350F1B4B"/>
    <w:rsid w:val="35131028"/>
    <w:rsid w:val="352C1B9C"/>
    <w:rsid w:val="355E0F48"/>
    <w:rsid w:val="35763891"/>
    <w:rsid w:val="359A5A79"/>
    <w:rsid w:val="359D2D9A"/>
    <w:rsid w:val="35BA65ED"/>
    <w:rsid w:val="35D94BF0"/>
    <w:rsid w:val="35E30100"/>
    <w:rsid w:val="35F854CC"/>
    <w:rsid w:val="36331E3B"/>
    <w:rsid w:val="364D4A53"/>
    <w:rsid w:val="367C4FE0"/>
    <w:rsid w:val="36A0366E"/>
    <w:rsid w:val="36B03E46"/>
    <w:rsid w:val="36CA1D51"/>
    <w:rsid w:val="36EE5DF8"/>
    <w:rsid w:val="36F3168C"/>
    <w:rsid w:val="36F56ECC"/>
    <w:rsid w:val="36F77F50"/>
    <w:rsid w:val="37270DCC"/>
    <w:rsid w:val="373F0FB3"/>
    <w:rsid w:val="37403D5B"/>
    <w:rsid w:val="37453901"/>
    <w:rsid w:val="37571276"/>
    <w:rsid w:val="375D5CFD"/>
    <w:rsid w:val="37751E44"/>
    <w:rsid w:val="37912B4C"/>
    <w:rsid w:val="37931475"/>
    <w:rsid w:val="379F6328"/>
    <w:rsid w:val="37B13F84"/>
    <w:rsid w:val="37BD6554"/>
    <w:rsid w:val="37C6404D"/>
    <w:rsid w:val="37D178AE"/>
    <w:rsid w:val="37DB4993"/>
    <w:rsid w:val="37F06009"/>
    <w:rsid w:val="383D7E34"/>
    <w:rsid w:val="38471257"/>
    <w:rsid w:val="38522D99"/>
    <w:rsid w:val="38537C33"/>
    <w:rsid w:val="385D41E5"/>
    <w:rsid w:val="386A5533"/>
    <w:rsid w:val="38766A73"/>
    <w:rsid w:val="389D31BC"/>
    <w:rsid w:val="38AC2B5E"/>
    <w:rsid w:val="38E8530C"/>
    <w:rsid w:val="38F24A89"/>
    <w:rsid w:val="39284D12"/>
    <w:rsid w:val="394013DC"/>
    <w:rsid w:val="3964764E"/>
    <w:rsid w:val="397C21E2"/>
    <w:rsid w:val="397D4BB7"/>
    <w:rsid w:val="398677A0"/>
    <w:rsid w:val="39903CA0"/>
    <w:rsid w:val="3995197A"/>
    <w:rsid w:val="39A24B4D"/>
    <w:rsid w:val="39D714FA"/>
    <w:rsid w:val="39F40FF1"/>
    <w:rsid w:val="3A17548D"/>
    <w:rsid w:val="3A1FA1E0"/>
    <w:rsid w:val="3A2031AA"/>
    <w:rsid w:val="3A26069E"/>
    <w:rsid w:val="3A2C0D95"/>
    <w:rsid w:val="3A502215"/>
    <w:rsid w:val="3A6E5F6D"/>
    <w:rsid w:val="3A8D01E5"/>
    <w:rsid w:val="3A9D4E55"/>
    <w:rsid w:val="3AA854AD"/>
    <w:rsid w:val="3AC22EEF"/>
    <w:rsid w:val="3AE10CCA"/>
    <w:rsid w:val="3AE903C3"/>
    <w:rsid w:val="3AF371B4"/>
    <w:rsid w:val="3AFA37CA"/>
    <w:rsid w:val="3B22247F"/>
    <w:rsid w:val="3B252844"/>
    <w:rsid w:val="3B456046"/>
    <w:rsid w:val="3B4B5946"/>
    <w:rsid w:val="3B4E2428"/>
    <w:rsid w:val="3B530CF9"/>
    <w:rsid w:val="3B5E53F0"/>
    <w:rsid w:val="3B852F35"/>
    <w:rsid w:val="3B865E9A"/>
    <w:rsid w:val="3BAA4B5B"/>
    <w:rsid w:val="3BAE0E21"/>
    <w:rsid w:val="3BC2430A"/>
    <w:rsid w:val="3C0539D2"/>
    <w:rsid w:val="3C135CDC"/>
    <w:rsid w:val="3C136B32"/>
    <w:rsid w:val="3C256840"/>
    <w:rsid w:val="3C391081"/>
    <w:rsid w:val="3C5A2E85"/>
    <w:rsid w:val="3C6260EA"/>
    <w:rsid w:val="3CAF5B2F"/>
    <w:rsid w:val="3CC002C2"/>
    <w:rsid w:val="3CC86C29"/>
    <w:rsid w:val="3CD45671"/>
    <w:rsid w:val="3CEC19F4"/>
    <w:rsid w:val="3CF03438"/>
    <w:rsid w:val="3CF91649"/>
    <w:rsid w:val="3D090E33"/>
    <w:rsid w:val="3D0968BF"/>
    <w:rsid w:val="3D7D181F"/>
    <w:rsid w:val="3D8E63A2"/>
    <w:rsid w:val="3D941146"/>
    <w:rsid w:val="3DC079A3"/>
    <w:rsid w:val="3DC24F17"/>
    <w:rsid w:val="3DC37098"/>
    <w:rsid w:val="3DE1436E"/>
    <w:rsid w:val="3DE71D9E"/>
    <w:rsid w:val="3DF945C6"/>
    <w:rsid w:val="3DF95EB4"/>
    <w:rsid w:val="3E363196"/>
    <w:rsid w:val="3E367C86"/>
    <w:rsid w:val="3E3E0374"/>
    <w:rsid w:val="3E500183"/>
    <w:rsid w:val="3E795C47"/>
    <w:rsid w:val="3E9314A4"/>
    <w:rsid w:val="3EB55D4D"/>
    <w:rsid w:val="3EDC4BA2"/>
    <w:rsid w:val="3F145AAA"/>
    <w:rsid w:val="3F3B7B2F"/>
    <w:rsid w:val="3F6F20B8"/>
    <w:rsid w:val="3F8D126C"/>
    <w:rsid w:val="3F935F31"/>
    <w:rsid w:val="3FA9106C"/>
    <w:rsid w:val="3FAF3D19"/>
    <w:rsid w:val="3FCE60ED"/>
    <w:rsid w:val="3FD907E1"/>
    <w:rsid w:val="3FDC2B4A"/>
    <w:rsid w:val="3FDF1375"/>
    <w:rsid w:val="3FE75750"/>
    <w:rsid w:val="40061FE5"/>
    <w:rsid w:val="400939C9"/>
    <w:rsid w:val="400B74F0"/>
    <w:rsid w:val="402C0124"/>
    <w:rsid w:val="40496AFA"/>
    <w:rsid w:val="40581002"/>
    <w:rsid w:val="40837EA8"/>
    <w:rsid w:val="40A610D2"/>
    <w:rsid w:val="40DD51CE"/>
    <w:rsid w:val="41004350"/>
    <w:rsid w:val="4110588F"/>
    <w:rsid w:val="41112368"/>
    <w:rsid w:val="412A1D04"/>
    <w:rsid w:val="414538FF"/>
    <w:rsid w:val="414E66F5"/>
    <w:rsid w:val="41653E4D"/>
    <w:rsid w:val="418F26A3"/>
    <w:rsid w:val="4199060C"/>
    <w:rsid w:val="41CC50B7"/>
    <w:rsid w:val="41D17BF4"/>
    <w:rsid w:val="41F52F2B"/>
    <w:rsid w:val="41F83933"/>
    <w:rsid w:val="42071DC0"/>
    <w:rsid w:val="42255F01"/>
    <w:rsid w:val="423B3CE7"/>
    <w:rsid w:val="424F1349"/>
    <w:rsid w:val="42545ECD"/>
    <w:rsid w:val="42616EB0"/>
    <w:rsid w:val="4286615D"/>
    <w:rsid w:val="42A2205B"/>
    <w:rsid w:val="42AF631B"/>
    <w:rsid w:val="42DF092A"/>
    <w:rsid w:val="43313A03"/>
    <w:rsid w:val="4339277A"/>
    <w:rsid w:val="434605D8"/>
    <w:rsid w:val="43594907"/>
    <w:rsid w:val="436E11A8"/>
    <w:rsid w:val="43A16CB0"/>
    <w:rsid w:val="43B371D1"/>
    <w:rsid w:val="43EB1833"/>
    <w:rsid w:val="43F86D65"/>
    <w:rsid w:val="440D75E4"/>
    <w:rsid w:val="441063AB"/>
    <w:rsid w:val="442662A5"/>
    <w:rsid w:val="445B1F89"/>
    <w:rsid w:val="44695F3C"/>
    <w:rsid w:val="4472000F"/>
    <w:rsid w:val="448446A7"/>
    <w:rsid w:val="44916018"/>
    <w:rsid w:val="44931929"/>
    <w:rsid w:val="44B24BFC"/>
    <w:rsid w:val="44E15741"/>
    <w:rsid w:val="450416B0"/>
    <w:rsid w:val="45091748"/>
    <w:rsid w:val="451D3444"/>
    <w:rsid w:val="45602CE0"/>
    <w:rsid w:val="45611A6C"/>
    <w:rsid w:val="45686A3E"/>
    <w:rsid w:val="456E4639"/>
    <w:rsid w:val="459D236B"/>
    <w:rsid w:val="45AA5DBF"/>
    <w:rsid w:val="45AF4E71"/>
    <w:rsid w:val="45C719EA"/>
    <w:rsid w:val="45E55560"/>
    <w:rsid w:val="4612261F"/>
    <w:rsid w:val="46293E27"/>
    <w:rsid w:val="462E15F5"/>
    <w:rsid w:val="46333408"/>
    <w:rsid w:val="464B2733"/>
    <w:rsid w:val="46A76879"/>
    <w:rsid w:val="46BE2AF8"/>
    <w:rsid w:val="46EB44AD"/>
    <w:rsid w:val="46FA4500"/>
    <w:rsid w:val="46FB5AD6"/>
    <w:rsid w:val="47137F68"/>
    <w:rsid w:val="471A3EBC"/>
    <w:rsid w:val="474B47B7"/>
    <w:rsid w:val="4765578F"/>
    <w:rsid w:val="478E36AE"/>
    <w:rsid w:val="47B661FF"/>
    <w:rsid w:val="47BF4464"/>
    <w:rsid w:val="47F900DF"/>
    <w:rsid w:val="48263C21"/>
    <w:rsid w:val="48303F54"/>
    <w:rsid w:val="48365500"/>
    <w:rsid w:val="48413125"/>
    <w:rsid w:val="484C5DE8"/>
    <w:rsid w:val="488177D6"/>
    <w:rsid w:val="489326B4"/>
    <w:rsid w:val="48F45B30"/>
    <w:rsid w:val="48F96C00"/>
    <w:rsid w:val="48FC53FB"/>
    <w:rsid w:val="49043CC9"/>
    <w:rsid w:val="49117A54"/>
    <w:rsid w:val="49195A92"/>
    <w:rsid w:val="492453D1"/>
    <w:rsid w:val="493B54AA"/>
    <w:rsid w:val="49455AC1"/>
    <w:rsid w:val="49483F33"/>
    <w:rsid w:val="49507C9F"/>
    <w:rsid w:val="4956307C"/>
    <w:rsid w:val="498C4477"/>
    <w:rsid w:val="499F6929"/>
    <w:rsid w:val="49C22B6C"/>
    <w:rsid w:val="49D35F10"/>
    <w:rsid w:val="49FD74BD"/>
    <w:rsid w:val="4A1F0E28"/>
    <w:rsid w:val="4A2E1758"/>
    <w:rsid w:val="4A4F2BCC"/>
    <w:rsid w:val="4A781A5E"/>
    <w:rsid w:val="4AA50A73"/>
    <w:rsid w:val="4AC056EB"/>
    <w:rsid w:val="4AEA2E92"/>
    <w:rsid w:val="4AEF0E52"/>
    <w:rsid w:val="4B0629E7"/>
    <w:rsid w:val="4B0B6B19"/>
    <w:rsid w:val="4B4058CA"/>
    <w:rsid w:val="4B5404BA"/>
    <w:rsid w:val="4B650147"/>
    <w:rsid w:val="4B7435B8"/>
    <w:rsid w:val="4BB75F85"/>
    <w:rsid w:val="4BBC76FB"/>
    <w:rsid w:val="4BDF50E4"/>
    <w:rsid w:val="4BF743F2"/>
    <w:rsid w:val="4C0F4360"/>
    <w:rsid w:val="4C116B01"/>
    <w:rsid w:val="4C382C2B"/>
    <w:rsid w:val="4C445173"/>
    <w:rsid w:val="4C461760"/>
    <w:rsid w:val="4C7B1965"/>
    <w:rsid w:val="4C9A6D97"/>
    <w:rsid w:val="4CD02290"/>
    <w:rsid w:val="4CEB626B"/>
    <w:rsid w:val="4CFF39FE"/>
    <w:rsid w:val="4DA45556"/>
    <w:rsid w:val="4DA7184C"/>
    <w:rsid w:val="4DBC2F09"/>
    <w:rsid w:val="4DBC6A6B"/>
    <w:rsid w:val="4DE329BD"/>
    <w:rsid w:val="4E0D6A50"/>
    <w:rsid w:val="4E1F74FE"/>
    <w:rsid w:val="4E4C4278"/>
    <w:rsid w:val="4E572144"/>
    <w:rsid w:val="4E8802DC"/>
    <w:rsid w:val="4EB73BFC"/>
    <w:rsid w:val="4EE60951"/>
    <w:rsid w:val="4EEF350B"/>
    <w:rsid w:val="4F0B7A22"/>
    <w:rsid w:val="4F527A32"/>
    <w:rsid w:val="4F573E2C"/>
    <w:rsid w:val="4FA41B22"/>
    <w:rsid w:val="4FA871C1"/>
    <w:rsid w:val="4FA91B64"/>
    <w:rsid w:val="4FB55777"/>
    <w:rsid w:val="4FB61B80"/>
    <w:rsid w:val="4FEC7525"/>
    <w:rsid w:val="501705D6"/>
    <w:rsid w:val="501D7327"/>
    <w:rsid w:val="501E40D3"/>
    <w:rsid w:val="50206AC3"/>
    <w:rsid w:val="50327D58"/>
    <w:rsid w:val="506503BB"/>
    <w:rsid w:val="506C3458"/>
    <w:rsid w:val="507217A9"/>
    <w:rsid w:val="50962F12"/>
    <w:rsid w:val="50B01D54"/>
    <w:rsid w:val="50C922FE"/>
    <w:rsid w:val="511E23A5"/>
    <w:rsid w:val="51574629"/>
    <w:rsid w:val="515F5245"/>
    <w:rsid w:val="51701EE9"/>
    <w:rsid w:val="51727809"/>
    <w:rsid w:val="51812771"/>
    <w:rsid w:val="5184032E"/>
    <w:rsid w:val="51A74C87"/>
    <w:rsid w:val="51CA1CD1"/>
    <w:rsid w:val="51E723E5"/>
    <w:rsid w:val="51E848BE"/>
    <w:rsid w:val="52140A34"/>
    <w:rsid w:val="521700BF"/>
    <w:rsid w:val="521D6D1C"/>
    <w:rsid w:val="52202B74"/>
    <w:rsid w:val="52341969"/>
    <w:rsid w:val="523F46CA"/>
    <w:rsid w:val="529E4233"/>
    <w:rsid w:val="52B6279A"/>
    <w:rsid w:val="52BF3D1D"/>
    <w:rsid w:val="52D266AA"/>
    <w:rsid w:val="52D3169C"/>
    <w:rsid w:val="52E9491B"/>
    <w:rsid w:val="53342FAC"/>
    <w:rsid w:val="533935C2"/>
    <w:rsid w:val="53416E86"/>
    <w:rsid w:val="53742684"/>
    <w:rsid w:val="537C2502"/>
    <w:rsid w:val="53C5787F"/>
    <w:rsid w:val="53C879E6"/>
    <w:rsid w:val="53CE2D37"/>
    <w:rsid w:val="53D646B7"/>
    <w:rsid w:val="53DB51C0"/>
    <w:rsid w:val="540E11F2"/>
    <w:rsid w:val="54173289"/>
    <w:rsid w:val="54200461"/>
    <w:rsid w:val="546A5D1E"/>
    <w:rsid w:val="547311F3"/>
    <w:rsid w:val="54857F56"/>
    <w:rsid w:val="54A0435F"/>
    <w:rsid w:val="54AB2BDA"/>
    <w:rsid w:val="54AB4A33"/>
    <w:rsid w:val="54B81BBC"/>
    <w:rsid w:val="54BF12BB"/>
    <w:rsid w:val="54BF6D88"/>
    <w:rsid w:val="54C02BD7"/>
    <w:rsid w:val="54F82D71"/>
    <w:rsid w:val="55025CFB"/>
    <w:rsid w:val="55073051"/>
    <w:rsid w:val="550B080C"/>
    <w:rsid w:val="552C7B91"/>
    <w:rsid w:val="5554051F"/>
    <w:rsid w:val="55827CCE"/>
    <w:rsid w:val="558F3104"/>
    <w:rsid w:val="55C832E1"/>
    <w:rsid w:val="55CA46AB"/>
    <w:rsid w:val="55CB55C9"/>
    <w:rsid w:val="55D55C83"/>
    <w:rsid w:val="55FF7FDF"/>
    <w:rsid w:val="56012EF0"/>
    <w:rsid w:val="5611286E"/>
    <w:rsid w:val="56194295"/>
    <w:rsid w:val="56554CD5"/>
    <w:rsid w:val="56670A54"/>
    <w:rsid w:val="56993151"/>
    <w:rsid w:val="569B1A75"/>
    <w:rsid w:val="56AD7B5F"/>
    <w:rsid w:val="56B87F30"/>
    <w:rsid w:val="56BD5AB0"/>
    <w:rsid w:val="56C21EA1"/>
    <w:rsid w:val="56E915D6"/>
    <w:rsid w:val="56F40058"/>
    <w:rsid w:val="570021A5"/>
    <w:rsid w:val="571431ED"/>
    <w:rsid w:val="5732109E"/>
    <w:rsid w:val="5741352E"/>
    <w:rsid w:val="574D1370"/>
    <w:rsid w:val="57531688"/>
    <w:rsid w:val="57536038"/>
    <w:rsid w:val="578E7C7E"/>
    <w:rsid w:val="579F35A6"/>
    <w:rsid w:val="57A529E9"/>
    <w:rsid w:val="57BD1F80"/>
    <w:rsid w:val="57C55BF1"/>
    <w:rsid w:val="57F14912"/>
    <w:rsid w:val="582F3131"/>
    <w:rsid w:val="584D2E6F"/>
    <w:rsid w:val="58514AA3"/>
    <w:rsid w:val="585612B6"/>
    <w:rsid w:val="585B7AB4"/>
    <w:rsid w:val="585E57F4"/>
    <w:rsid w:val="588C05A3"/>
    <w:rsid w:val="589D478C"/>
    <w:rsid w:val="58B81EA3"/>
    <w:rsid w:val="58D5010E"/>
    <w:rsid w:val="58FC73C1"/>
    <w:rsid w:val="59232C9C"/>
    <w:rsid w:val="59260977"/>
    <w:rsid w:val="59266BE1"/>
    <w:rsid w:val="593C3367"/>
    <w:rsid w:val="595434A6"/>
    <w:rsid w:val="59763938"/>
    <w:rsid w:val="598256BF"/>
    <w:rsid w:val="59914CFD"/>
    <w:rsid w:val="59A34D5B"/>
    <w:rsid w:val="59AF5075"/>
    <w:rsid w:val="59B939A9"/>
    <w:rsid w:val="59C1217D"/>
    <w:rsid w:val="59C22CCB"/>
    <w:rsid w:val="59C96037"/>
    <w:rsid w:val="59D44D85"/>
    <w:rsid w:val="59F66A9A"/>
    <w:rsid w:val="59FB21D8"/>
    <w:rsid w:val="5A470297"/>
    <w:rsid w:val="5A681276"/>
    <w:rsid w:val="5A6A0F7C"/>
    <w:rsid w:val="5A8738B9"/>
    <w:rsid w:val="5A8C0F5C"/>
    <w:rsid w:val="5A9223F3"/>
    <w:rsid w:val="5A966C6F"/>
    <w:rsid w:val="5AA549E9"/>
    <w:rsid w:val="5AD25494"/>
    <w:rsid w:val="5B235FAF"/>
    <w:rsid w:val="5B736C47"/>
    <w:rsid w:val="5B9078F3"/>
    <w:rsid w:val="5BA858A7"/>
    <w:rsid w:val="5BB92C39"/>
    <w:rsid w:val="5BBD1331"/>
    <w:rsid w:val="5BDA404D"/>
    <w:rsid w:val="5BDC32D1"/>
    <w:rsid w:val="5BDE1AE9"/>
    <w:rsid w:val="5BE33A7A"/>
    <w:rsid w:val="5BF14DFC"/>
    <w:rsid w:val="5BF62BBD"/>
    <w:rsid w:val="5C0365D2"/>
    <w:rsid w:val="5C2454B9"/>
    <w:rsid w:val="5C2655E0"/>
    <w:rsid w:val="5C77292A"/>
    <w:rsid w:val="5C8E4EFB"/>
    <w:rsid w:val="5C8F0706"/>
    <w:rsid w:val="5C940B99"/>
    <w:rsid w:val="5CAF61C6"/>
    <w:rsid w:val="5CE94F34"/>
    <w:rsid w:val="5CE97FC2"/>
    <w:rsid w:val="5D026B93"/>
    <w:rsid w:val="5D172AC5"/>
    <w:rsid w:val="5D296B05"/>
    <w:rsid w:val="5D302850"/>
    <w:rsid w:val="5D3715D8"/>
    <w:rsid w:val="5D6A39AF"/>
    <w:rsid w:val="5D8D5BCF"/>
    <w:rsid w:val="5DA32CB7"/>
    <w:rsid w:val="5DAF67BD"/>
    <w:rsid w:val="5DB61D62"/>
    <w:rsid w:val="5E02435C"/>
    <w:rsid w:val="5E404AB3"/>
    <w:rsid w:val="5E5E713C"/>
    <w:rsid w:val="5E630B54"/>
    <w:rsid w:val="5E6B6D55"/>
    <w:rsid w:val="5E81783D"/>
    <w:rsid w:val="5E8C5229"/>
    <w:rsid w:val="5EA657B8"/>
    <w:rsid w:val="5EB64ACE"/>
    <w:rsid w:val="5EC40EF9"/>
    <w:rsid w:val="5EDD2E98"/>
    <w:rsid w:val="5EEA0CB2"/>
    <w:rsid w:val="5F1745A6"/>
    <w:rsid w:val="5F1928EC"/>
    <w:rsid w:val="5F391E49"/>
    <w:rsid w:val="5F5B4830"/>
    <w:rsid w:val="5F6774A6"/>
    <w:rsid w:val="5F8853B7"/>
    <w:rsid w:val="5F951A5A"/>
    <w:rsid w:val="5F9B0863"/>
    <w:rsid w:val="5F9D68DD"/>
    <w:rsid w:val="5FAD0AE8"/>
    <w:rsid w:val="5FC0648A"/>
    <w:rsid w:val="5FC428D4"/>
    <w:rsid w:val="5FC72747"/>
    <w:rsid w:val="5FDC3312"/>
    <w:rsid w:val="5FEA6F2E"/>
    <w:rsid w:val="601A188F"/>
    <w:rsid w:val="604A705B"/>
    <w:rsid w:val="604B385E"/>
    <w:rsid w:val="605B298C"/>
    <w:rsid w:val="60967A8B"/>
    <w:rsid w:val="60994E2F"/>
    <w:rsid w:val="609A6529"/>
    <w:rsid w:val="609F4DA3"/>
    <w:rsid w:val="60A010E8"/>
    <w:rsid w:val="60A139F1"/>
    <w:rsid w:val="60EB0985"/>
    <w:rsid w:val="60ED2FC3"/>
    <w:rsid w:val="60F0481F"/>
    <w:rsid w:val="610F4403"/>
    <w:rsid w:val="61157C3B"/>
    <w:rsid w:val="611B712C"/>
    <w:rsid w:val="61300C23"/>
    <w:rsid w:val="615E354C"/>
    <w:rsid w:val="615E7DB4"/>
    <w:rsid w:val="617C2019"/>
    <w:rsid w:val="61807507"/>
    <w:rsid w:val="618D7A19"/>
    <w:rsid w:val="619E65EE"/>
    <w:rsid w:val="61AE0743"/>
    <w:rsid w:val="61C01423"/>
    <w:rsid w:val="61D5291B"/>
    <w:rsid w:val="61DF10D0"/>
    <w:rsid w:val="61E735F4"/>
    <w:rsid w:val="61F77C06"/>
    <w:rsid w:val="61F855C8"/>
    <w:rsid w:val="62097B72"/>
    <w:rsid w:val="621F2057"/>
    <w:rsid w:val="624A76B8"/>
    <w:rsid w:val="626C7DC5"/>
    <w:rsid w:val="627E5645"/>
    <w:rsid w:val="62972DC8"/>
    <w:rsid w:val="62C05A1B"/>
    <w:rsid w:val="62E03308"/>
    <w:rsid w:val="62E96D00"/>
    <w:rsid w:val="62EE60E6"/>
    <w:rsid w:val="62F82147"/>
    <w:rsid w:val="630061F0"/>
    <w:rsid w:val="6310401D"/>
    <w:rsid w:val="632557AB"/>
    <w:rsid w:val="63343679"/>
    <w:rsid w:val="633F3482"/>
    <w:rsid w:val="634C497D"/>
    <w:rsid w:val="637E3A9F"/>
    <w:rsid w:val="638142D8"/>
    <w:rsid w:val="638904D6"/>
    <w:rsid w:val="63D11A9E"/>
    <w:rsid w:val="63E27150"/>
    <w:rsid w:val="63EF28AE"/>
    <w:rsid w:val="63F42790"/>
    <w:rsid w:val="640A30CE"/>
    <w:rsid w:val="645917A8"/>
    <w:rsid w:val="64876225"/>
    <w:rsid w:val="64930000"/>
    <w:rsid w:val="649E7ECD"/>
    <w:rsid w:val="64AF449F"/>
    <w:rsid w:val="64C25EA0"/>
    <w:rsid w:val="64FB0EB9"/>
    <w:rsid w:val="65067F5E"/>
    <w:rsid w:val="650A3F9E"/>
    <w:rsid w:val="651539BF"/>
    <w:rsid w:val="65191E52"/>
    <w:rsid w:val="651A3B91"/>
    <w:rsid w:val="65283E54"/>
    <w:rsid w:val="653C5ABE"/>
    <w:rsid w:val="65526111"/>
    <w:rsid w:val="655F066D"/>
    <w:rsid w:val="656564CB"/>
    <w:rsid w:val="65824FD9"/>
    <w:rsid w:val="659E7521"/>
    <w:rsid w:val="65AA31CD"/>
    <w:rsid w:val="65C23A09"/>
    <w:rsid w:val="65CC25B6"/>
    <w:rsid w:val="65CE7197"/>
    <w:rsid w:val="65F02421"/>
    <w:rsid w:val="66401295"/>
    <w:rsid w:val="665A798D"/>
    <w:rsid w:val="6665008B"/>
    <w:rsid w:val="66671F10"/>
    <w:rsid w:val="667329DE"/>
    <w:rsid w:val="66A8048B"/>
    <w:rsid w:val="66B33D47"/>
    <w:rsid w:val="66C072FE"/>
    <w:rsid w:val="66E82C3D"/>
    <w:rsid w:val="670C05D2"/>
    <w:rsid w:val="672F54D4"/>
    <w:rsid w:val="673627B8"/>
    <w:rsid w:val="67516705"/>
    <w:rsid w:val="675E4DC5"/>
    <w:rsid w:val="675F5E65"/>
    <w:rsid w:val="677C1EE7"/>
    <w:rsid w:val="6781786A"/>
    <w:rsid w:val="678F70FD"/>
    <w:rsid w:val="67B21BD9"/>
    <w:rsid w:val="67E51D5F"/>
    <w:rsid w:val="67EC2E77"/>
    <w:rsid w:val="67ED62A5"/>
    <w:rsid w:val="67F059F1"/>
    <w:rsid w:val="68005CE8"/>
    <w:rsid w:val="682C230B"/>
    <w:rsid w:val="6830718E"/>
    <w:rsid w:val="683D78F3"/>
    <w:rsid w:val="68C0119E"/>
    <w:rsid w:val="68D57D13"/>
    <w:rsid w:val="69157160"/>
    <w:rsid w:val="691F5994"/>
    <w:rsid w:val="693F68C2"/>
    <w:rsid w:val="694E24A8"/>
    <w:rsid w:val="69600850"/>
    <w:rsid w:val="696B77C1"/>
    <w:rsid w:val="69717C20"/>
    <w:rsid w:val="697659B4"/>
    <w:rsid w:val="698E0B24"/>
    <w:rsid w:val="69920B1F"/>
    <w:rsid w:val="699C539B"/>
    <w:rsid w:val="69A23CA4"/>
    <w:rsid w:val="69D31041"/>
    <w:rsid w:val="69F50AAE"/>
    <w:rsid w:val="6A044561"/>
    <w:rsid w:val="6A3414ED"/>
    <w:rsid w:val="6A4E359F"/>
    <w:rsid w:val="6A5421A8"/>
    <w:rsid w:val="6A697F97"/>
    <w:rsid w:val="6A7B0D53"/>
    <w:rsid w:val="6A842CF5"/>
    <w:rsid w:val="6AE7661A"/>
    <w:rsid w:val="6AF86EBE"/>
    <w:rsid w:val="6B150D8F"/>
    <w:rsid w:val="6B1C099C"/>
    <w:rsid w:val="6B265769"/>
    <w:rsid w:val="6B2C53E7"/>
    <w:rsid w:val="6B3567C1"/>
    <w:rsid w:val="6B625EFD"/>
    <w:rsid w:val="6B8D5B51"/>
    <w:rsid w:val="6BC32C48"/>
    <w:rsid w:val="6BC52F51"/>
    <w:rsid w:val="6BC625FE"/>
    <w:rsid w:val="6BDA7B41"/>
    <w:rsid w:val="6BE23F66"/>
    <w:rsid w:val="6BED31C1"/>
    <w:rsid w:val="6BFB6EDE"/>
    <w:rsid w:val="6BFF63CE"/>
    <w:rsid w:val="6C1D00AA"/>
    <w:rsid w:val="6C2B28D4"/>
    <w:rsid w:val="6C585A43"/>
    <w:rsid w:val="6C947C7D"/>
    <w:rsid w:val="6CB70327"/>
    <w:rsid w:val="6CC17579"/>
    <w:rsid w:val="6CC34D21"/>
    <w:rsid w:val="6D2C2385"/>
    <w:rsid w:val="6D496357"/>
    <w:rsid w:val="6D57380A"/>
    <w:rsid w:val="6D7242AB"/>
    <w:rsid w:val="6D760B58"/>
    <w:rsid w:val="6D7C36C2"/>
    <w:rsid w:val="6D7D7FC9"/>
    <w:rsid w:val="6D8068E6"/>
    <w:rsid w:val="6D8B39F6"/>
    <w:rsid w:val="6D9C737C"/>
    <w:rsid w:val="6D9F2DC3"/>
    <w:rsid w:val="6DDC797A"/>
    <w:rsid w:val="6DF943C8"/>
    <w:rsid w:val="6E1C2A04"/>
    <w:rsid w:val="6E494CC8"/>
    <w:rsid w:val="6E823A85"/>
    <w:rsid w:val="6E8D24E6"/>
    <w:rsid w:val="6E936DE8"/>
    <w:rsid w:val="6EBE39F7"/>
    <w:rsid w:val="6EC04032"/>
    <w:rsid w:val="6EC9236B"/>
    <w:rsid w:val="6EEB3844"/>
    <w:rsid w:val="6EF93BBF"/>
    <w:rsid w:val="6F0D74B4"/>
    <w:rsid w:val="6F2F21AC"/>
    <w:rsid w:val="6F492D5A"/>
    <w:rsid w:val="6F5266CD"/>
    <w:rsid w:val="6F874B76"/>
    <w:rsid w:val="6FAA559F"/>
    <w:rsid w:val="6FB61775"/>
    <w:rsid w:val="6FBB483D"/>
    <w:rsid w:val="6FD76DE5"/>
    <w:rsid w:val="6FF416B2"/>
    <w:rsid w:val="6FF9397D"/>
    <w:rsid w:val="6FFE5E92"/>
    <w:rsid w:val="705D16FC"/>
    <w:rsid w:val="7077746C"/>
    <w:rsid w:val="7087079E"/>
    <w:rsid w:val="70D05864"/>
    <w:rsid w:val="70D764F5"/>
    <w:rsid w:val="70E96BB2"/>
    <w:rsid w:val="70EA021C"/>
    <w:rsid w:val="71052EAD"/>
    <w:rsid w:val="71350CE5"/>
    <w:rsid w:val="7140272F"/>
    <w:rsid w:val="71431FB4"/>
    <w:rsid w:val="714F67F8"/>
    <w:rsid w:val="714F7031"/>
    <w:rsid w:val="716E1C5F"/>
    <w:rsid w:val="71730A62"/>
    <w:rsid w:val="717C05FE"/>
    <w:rsid w:val="717E4783"/>
    <w:rsid w:val="71A5233B"/>
    <w:rsid w:val="71C82784"/>
    <w:rsid w:val="71D63486"/>
    <w:rsid w:val="72021DAF"/>
    <w:rsid w:val="721A3BD5"/>
    <w:rsid w:val="722F3F58"/>
    <w:rsid w:val="72485719"/>
    <w:rsid w:val="72511D4D"/>
    <w:rsid w:val="72534834"/>
    <w:rsid w:val="72640B29"/>
    <w:rsid w:val="729E4BBE"/>
    <w:rsid w:val="72DB49F3"/>
    <w:rsid w:val="72E53BF6"/>
    <w:rsid w:val="72E54380"/>
    <w:rsid w:val="72FC55FA"/>
    <w:rsid w:val="73117D7E"/>
    <w:rsid w:val="732459FD"/>
    <w:rsid w:val="73344918"/>
    <w:rsid w:val="733A7C4F"/>
    <w:rsid w:val="734054DF"/>
    <w:rsid w:val="736823A3"/>
    <w:rsid w:val="73847A82"/>
    <w:rsid w:val="73891E3A"/>
    <w:rsid w:val="73B53FA9"/>
    <w:rsid w:val="73D9514D"/>
    <w:rsid w:val="73E13E82"/>
    <w:rsid w:val="741A5609"/>
    <w:rsid w:val="74314B62"/>
    <w:rsid w:val="7431525D"/>
    <w:rsid w:val="744E2264"/>
    <w:rsid w:val="74511B81"/>
    <w:rsid w:val="74586152"/>
    <w:rsid w:val="746276AE"/>
    <w:rsid w:val="747834A2"/>
    <w:rsid w:val="747942EA"/>
    <w:rsid w:val="74B64BC9"/>
    <w:rsid w:val="74CA1AF7"/>
    <w:rsid w:val="74DC0E8C"/>
    <w:rsid w:val="74E85E0A"/>
    <w:rsid w:val="74ED34DA"/>
    <w:rsid w:val="751B5DED"/>
    <w:rsid w:val="753A0A66"/>
    <w:rsid w:val="75402E97"/>
    <w:rsid w:val="755935B0"/>
    <w:rsid w:val="756E6A5F"/>
    <w:rsid w:val="75751F65"/>
    <w:rsid w:val="757C3BD5"/>
    <w:rsid w:val="7589009F"/>
    <w:rsid w:val="75C210DC"/>
    <w:rsid w:val="75F8419A"/>
    <w:rsid w:val="760D157F"/>
    <w:rsid w:val="761979C6"/>
    <w:rsid w:val="761C319C"/>
    <w:rsid w:val="762A4E05"/>
    <w:rsid w:val="76321FA6"/>
    <w:rsid w:val="76352999"/>
    <w:rsid w:val="763A70E9"/>
    <w:rsid w:val="76434947"/>
    <w:rsid w:val="765D4975"/>
    <w:rsid w:val="766064FF"/>
    <w:rsid w:val="766528B6"/>
    <w:rsid w:val="76770E93"/>
    <w:rsid w:val="768B7DFA"/>
    <w:rsid w:val="76BA6B09"/>
    <w:rsid w:val="76CD1106"/>
    <w:rsid w:val="76F1272C"/>
    <w:rsid w:val="76F51AA1"/>
    <w:rsid w:val="771C499B"/>
    <w:rsid w:val="77420473"/>
    <w:rsid w:val="7750365D"/>
    <w:rsid w:val="77594741"/>
    <w:rsid w:val="77695EF3"/>
    <w:rsid w:val="77766A4A"/>
    <w:rsid w:val="779357F0"/>
    <w:rsid w:val="77A56DDC"/>
    <w:rsid w:val="77D5451B"/>
    <w:rsid w:val="77FE55AC"/>
    <w:rsid w:val="780A0846"/>
    <w:rsid w:val="78910F5B"/>
    <w:rsid w:val="78D9375C"/>
    <w:rsid w:val="79154B76"/>
    <w:rsid w:val="79340456"/>
    <w:rsid w:val="793F3977"/>
    <w:rsid w:val="79414131"/>
    <w:rsid w:val="795256A1"/>
    <w:rsid w:val="79664FE3"/>
    <w:rsid w:val="799313EC"/>
    <w:rsid w:val="79A33D70"/>
    <w:rsid w:val="79B842BF"/>
    <w:rsid w:val="79C974F0"/>
    <w:rsid w:val="79D17694"/>
    <w:rsid w:val="79E10E8C"/>
    <w:rsid w:val="79EA06EA"/>
    <w:rsid w:val="79FB4E1B"/>
    <w:rsid w:val="7A0A66EA"/>
    <w:rsid w:val="7A282DBE"/>
    <w:rsid w:val="7A455918"/>
    <w:rsid w:val="7A4F4506"/>
    <w:rsid w:val="7A5C0DDA"/>
    <w:rsid w:val="7A5F4F6B"/>
    <w:rsid w:val="7AD85D51"/>
    <w:rsid w:val="7AED7587"/>
    <w:rsid w:val="7B4E7DC1"/>
    <w:rsid w:val="7BAF296A"/>
    <w:rsid w:val="7BB37C24"/>
    <w:rsid w:val="7BD57BA9"/>
    <w:rsid w:val="7BDA2467"/>
    <w:rsid w:val="7BE371D8"/>
    <w:rsid w:val="7BE81FC4"/>
    <w:rsid w:val="7BEE3A1D"/>
    <w:rsid w:val="7BF87D2D"/>
    <w:rsid w:val="7C213842"/>
    <w:rsid w:val="7C393714"/>
    <w:rsid w:val="7C4564C9"/>
    <w:rsid w:val="7C7E5993"/>
    <w:rsid w:val="7C8220E8"/>
    <w:rsid w:val="7C983704"/>
    <w:rsid w:val="7CA10F29"/>
    <w:rsid w:val="7D022764"/>
    <w:rsid w:val="7D056FBF"/>
    <w:rsid w:val="7D0E218A"/>
    <w:rsid w:val="7D100919"/>
    <w:rsid w:val="7D127E27"/>
    <w:rsid w:val="7D1FE72E"/>
    <w:rsid w:val="7D474782"/>
    <w:rsid w:val="7D4A3EB0"/>
    <w:rsid w:val="7D8F69C6"/>
    <w:rsid w:val="7D924FAE"/>
    <w:rsid w:val="7DA205B1"/>
    <w:rsid w:val="7DEE07C9"/>
    <w:rsid w:val="7E006799"/>
    <w:rsid w:val="7E0473AC"/>
    <w:rsid w:val="7E3B4692"/>
    <w:rsid w:val="7E483573"/>
    <w:rsid w:val="7E6A10EC"/>
    <w:rsid w:val="7E7526CC"/>
    <w:rsid w:val="7E7A03CE"/>
    <w:rsid w:val="7E846AE0"/>
    <w:rsid w:val="7EB4435E"/>
    <w:rsid w:val="7EBBDC62"/>
    <w:rsid w:val="7EF9071E"/>
    <w:rsid w:val="7EFEC395"/>
    <w:rsid w:val="7F0504C0"/>
    <w:rsid w:val="7F0C17B9"/>
    <w:rsid w:val="7F0E1244"/>
    <w:rsid w:val="7F1153B4"/>
    <w:rsid w:val="7F5D33CA"/>
    <w:rsid w:val="7F7C49D9"/>
    <w:rsid w:val="7F967594"/>
    <w:rsid w:val="7F9E6BE7"/>
    <w:rsid w:val="7FC47B66"/>
    <w:rsid w:val="7FD0558C"/>
    <w:rsid w:val="7FDB54D0"/>
    <w:rsid w:val="7FE308D3"/>
    <w:rsid w:val="AFF90482"/>
    <w:rsid w:val="B32FF6D1"/>
    <w:rsid w:val="BADFB593"/>
    <w:rsid w:val="BFFE477E"/>
    <w:rsid w:val="F6F78986"/>
    <w:rsid w:val="FCFE246A"/>
    <w:rsid w:val="FD7F49EE"/>
    <w:rsid w:val="FEFE5B6D"/>
    <w:rsid w:val="FF3FA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36"/>
    <w:qFormat/>
    <w:uiPriority w:val="0"/>
    <w:pPr>
      <w:spacing w:line="660" w:lineRule="exact"/>
      <w:jc w:val="right"/>
      <w:outlineLvl w:val="0"/>
    </w:pPr>
    <w:rPr>
      <w:rFonts w:ascii="Times New Roman" w:eastAsia="宋体"/>
      <w:b/>
      <w:sz w:val="48"/>
      <w:szCs w:val="48"/>
    </w:rPr>
  </w:style>
  <w:style w:type="paragraph" w:styleId="6">
    <w:name w:val="heading 2"/>
    <w:basedOn w:val="1"/>
    <w:next w:val="1"/>
    <w:qFormat/>
    <w:uiPriority w:val="0"/>
    <w:pPr>
      <w:spacing w:beforeAutospacing="1" w:afterAutospacing="1"/>
      <w:jc w:val="left"/>
      <w:outlineLvl w:val="1"/>
    </w:pPr>
    <w:rPr>
      <w:rFonts w:ascii="宋体" w:hAnsi="宋体" w:cs="Times New Roman"/>
      <w:kern w:val="0"/>
      <w:sz w:val="36"/>
      <w:szCs w:val="36"/>
    </w:rPr>
  </w:style>
  <w:style w:type="paragraph" w:styleId="7">
    <w:name w:val="heading 3"/>
    <w:basedOn w:val="8"/>
    <w:next w:val="8"/>
    <w:unhideWhenUsed/>
    <w:qFormat/>
    <w:uiPriority w:val="0"/>
    <w:pPr>
      <w:keepNext/>
      <w:keepLines/>
      <w:spacing w:line="480" w:lineRule="exact"/>
      <w:ind w:firstLine="200"/>
      <w:outlineLvl w:val="2"/>
    </w:pPr>
    <w:rPr>
      <w:b/>
    </w:rPr>
  </w:style>
  <w:style w:type="paragraph" w:styleId="10">
    <w:name w:val="heading 4"/>
    <w:basedOn w:val="1"/>
    <w:next w:val="1"/>
    <w:unhideWhenUsed/>
    <w:qFormat/>
    <w:uiPriority w:val="0"/>
    <w:pPr>
      <w:keepNext/>
      <w:keepLines/>
      <w:ind w:firstLine="200"/>
      <w:outlineLvl w:val="3"/>
    </w:pPr>
    <w:rPr>
      <w:rFonts w:ascii="宋体" w:hAnsi="宋体" w:eastAsia="楷体_GB2312"/>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3"/>
    <w:next w:val="4"/>
    <w:qFormat/>
    <w:uiPriority w:val="0"/>
    <w:pPr>
      <w:widowControl/>
      <w:tabs>
        <w:tab w:val="center" w:pos="4153"/>
        <w:tab w:val="right" w:pos="8306"/>
      </w:tabs>
      <w:ind w:firstLine="200" w:firstLineChars="200"/>
      <w:jc w:val="left"/>
    </w:pPr>
    <w:rPr>
      <w:rFonts w:ascii="Times New Roman" w:hAnsi="Times New Roman" w:eastAsia="宋体"/>
      <w:kern w:val="0"/>
      <w:szCs w:val="21"/>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方正仿宋简体" w:hAnsi="??" w:eastAsia="方正仿宋简体" w:cs="Times New Roman"/>
      <w:color w:val="000000"/>
      <w:kern w:val="2"/>
      <w:sz w:val="32"/>
      <w:szCs w:val="32"/>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w:basedOn w:val="1"/>
    <w:next w:val="9"/>
    <w:qFormat/>
    <w:uiPriority w:val="0"/>
    <w:pPr>
      <w:spacing w:after="120"/>
    </w:pPr>
  </w:style>
  <w:style w:type="paragraph" w:styleId="9">
    <w:name w:val="Title"/>
    <w:basedOn w:val="1"/>
    <w:next w:val="1"/>
    <w:qFormat/>
    <w:uiPriority w:val="0"/>
    <w:pPr>
      <w:spacing w:before="240" w:after="60"/>
      <w:jc w:val="center"/>
      <w:outlineLvl w:val="0"/>
    </w:pPr>
    <w:rPr>
      <w:rFonts w:ascii="Cambria" w:hAnsi="Cambria"/>
      <w:b/>
      <w:bCs/>
    </w:rPr>
  </w:style>
  <w:style w:type="paragraph" w:styleId="11">
    <w:name w:val="Normal Indent"/>
    <w:basedOn w:val="1"/>
    <w:next w:val="1"/>
    <w:qFormat/>
    <w:uiPriority w:val="0"/>
    <w:pPr>
      <w:jc w:val="center"/>
    </w:pPr>
    <w:rPr>
      <w:rFonts w:ascii="Calibri" w:hAnsi="Calibri" w:cs="Times New Roman"/>
      <w:szCs w:val="21"/>
    </w:rPr>
  </w:style>
  <w:style w:type="paragraph" w:styleId="12">
    <w:name w:val="toa heading"/>
    <w:basedOn w:val="1"/>
    <w:next w:val="1"/>
    <w:qFormat/>
    <w:uiPriority w:val="99"/>
    <w:pPr>
      <w:spacing w:before="120"/>
    </w:pPr>
    <w:rPr>
      <w:rFonts w:ascii="Cambria" w:hAnsi="Cambria" w:cs="Cambria"/>
      <w:sz w:val="24"/>
    </w:rPr>
  </w:style>
  <w:style w:type="paragraph" w:styleId="13">
    <w:name w:val="Body Text Indent"/>
    <w:basedOn w:val="1"/>
    <w:next w:val="14"/>
    <w:qFormat/>
    <w:uiPriority w:val="0"/>
    <w:pPr>
      <w:spacing w:after="120"/>
      <w:ind w:left="420" w:leftChars="200"/>
    </w:pPr>
  </w:style>
  <w:style w:type="paragraph" w:styleId="14">
    <w:name w:val="Body Text First Indent 2"/>
    <w:basedOn w:val="13"/>
    <w:next w:val="11"/>
    <w:qFormat/>
    <w:uiPriority w:val="0"/>
    <w:pPr>
      <w:spacing w:before="100" w:beforeAutospacing="1" w:after="100" w:afterAutospacing="1" w:line="560" w:lineRule="exact"/>
      <w:ind w:left="410" w:leftChars="0" w:firstLine="640"/>
    </w:pPr>
    <w:rPr>
      <w:rFonts w:ascii="Calibri" w:hAnsi="Calibri"/>
      <w:szCs w:val="21"/>
    </w:rPr>
  </w:style>
  <w:style w:type="paragraph" w:styleId="15">
    <w:name w:val="toc 5"/>
    <w:basedOn w:val="1"/>
    <w:next w:val="1"/>
    <w:qFormat/>
    <w:uiPriority w:val="0"/>
    <w:pPr>
      <w:ind w:left="1680" w:leftChars="800"/>
    </w:pPr>
    <w:rPr>
      <w:rFonts w:ascii="Times New Roman" w:hAnsi="Times New Roman" w:cs="Times New Roman"/>
    </w:rPr>
  </w:style>
  <w:style w:type="paragraph" w:styleId="16">
    <w:name w:val="Plain Text"/>
    <w:basedOn w:val="1"/>
    <w:next w:val="1"/>
    <w:qFormat/>
    <w:uiPriority w:val="99"/>
    <w:pPr>
      <w:widowControl/>
      <w:spacing w:before="100" w:beforeAutospacing="1" w:after="100" w:afterAutospacing="1"/>
      <w:jc w:val="left"/>
    </w:pPr>
    <w:rPr>
      <w:rFonts w:ascii="宋体" w:hAnsi="宋体" w:cs="宋体"/>
      <w:kern w:val="0"/>
      <w:sz w:val="24"/>
    </w:rPr>
  </w:style>
  <w:style w:type="paragraph" w:styleId="17">
    <w:name w:val="Balloon Text"/>
    <w:basedOn w:val="1"/>
    <w:link w:val="49"/>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Body Text First Indent"/>
    <w:basedOn w:val="8"/>
    <w:qFormat/>
    <w:uiPriority w:val="0"/>
    <w:pPr>
      <w:ind w:firstLine="420" w:firstLineChars="1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Heading1"/>
    <w:basedOn w:val="1"/>
    <w:next w:val="1"/>
    <w:qFormat/>
    <w:uiPriority w:val="0"/>
    <w:pPr>
      <w:keepNext/>
      <w:keepLines/>
      <w:spacing w:before="240" w:after="240" w:line="360" w:lineRule="auto"/>
      <w:jc w:val="center"/>
      <w:textAlignment w:val="baseline"/>
    </w:pPr>
    <w:rPr>
      <w:rFonts w:ascii="Times New Roman" w:hAnsi="Times New Roman" w:eastAsia="方正小标宋简体" w:cs="Times New Roman"/>
      <w:bCs/>
      <w:kern w:val="44"/>
      <w:sz w:val="44"/>
      <w:szCs w:val="44"/>
    </w:rPr>
  </w:style>
  <w:style w:type="paragraph" w:customStyle="1" w:styleId="24">
    <w:name w:val="索引 81"/>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character" w:customStyle="1" w:styleId="25">
    <w:name w:val="font21"/>
    <w:basedOn w:val="22"/>
    <w:qFormat/>
    <w:uiPriority w:val="0"/>
    <w:rPr>
      <w:rFonts w:hint="eastAsia" w:ascii="宋体" w:hAnsi="宋体" w:eastAsia="宋体" w:cs="宋体"/>
      <w:color w:val="000000"/>
      <w:sz w:val="20"/>
      <w:szCs w:val="20"/>
      <w:u w:val="none"/>
    </w:rPr>
  </w:style>
  <w:style w:type="character" w:customStyle="1" w:styleId="26">
    <w:name w:val="font61"/>
    <w:basedOn w:val="22"/>
    <w:qFormat/>
    <w:uiPriority w:val="0"/>
    <w:rPr>
      <w:rFonts w:hint="eastAsia" w:ascii="仿宋_GB2312" w:eastAsia="仿宋_GB2312" w:cs="仿宋_GB2312"/>
      <w:color w:val="000000"/>
      <w:sz w:val="21"/>
      <w:szCs w:val="21"/>
      <w:u w:val="none"/>
    </w:rPr>
  </w:style>
  <w:style w:type="character" w:customStyle="1" w:styleId="27">
    <w:name w:val="font11"/>
    <w:basedOn w:val="22"/>
    <w:qFormat/>
    <w:uiPriority w:val="0"/>
    <w:rPr>
      <w:rFonts w:hint="eastAsia" w:ascii="宋体" w:hAnsi="宋体" w:eastAsia="宋体" w:cs="宋体"/>
      <w:b/>
      <w:color w:val="000000"/>
      <w:sz w:val="20"/>
      <w:szCs w:val="20"/>
      <w:u w:val="none"/>
    </w:rPr>
  </w:style>
  <w:style w:type="character" w:customStyle="1" w:styleId="28">
    <w:name w:val="font31"/>
    <w:basedOn w:val="22"/>
    <w:qFormat/>
    <w:uiPriority w:val="0"/>
    <w:rPr>
      <w:rFonts w:hint="default" w:ascii="Times New Roman" w:hAnsi="Times New Roman" w:cs="Times New Roman"/>
      <w:b/>
      <w:color w:val="000000"/>
      <w:sz w:val="20"/>
      <w:szCs w:val="20"/>
      <w:u w:val="none"/>
    </w:rPr>
  </w:style>
  <w:style w:type="character" w:customStyle="1" w:styleId="29">
    <w:name w:val="font41"/>
    <w:basedOn w:val="22"/>
    <w:qFormat/>
    <w:uiPriority w:val="0"/>
    <w:rPr>
      <w:rFonts w:hint="default" w:ascii="Times New Roman" w:hAnsi="Times New Roman" w:cs="Times New Roman"/>
      <w:b/>
      <w:bCs/>
      <w:color w:val="000000"/>
      <w:sz w:val="20"/>
      <w:szCs w:val="20"/>
      <w:u w:val="none"/>
    </w:rPr>
  </w:style>
  <w:style w:type="paragraph" w:customStyle="1" w:styleId="30">
    <w:name w:val="Normal Indent1"/>
    <w:basedOn w:val="1"/>
    <w:qFormat/>
    <w:uiPriority w:val="99"/>
    <w:pPr>
      <w:ind w:firstLine="420"/>
    </w:pPr>
  </w:style>
  <w:style w:type="paragraph" w:customStyle="1" w:styleId="31">
    <w:name w:val="图表目录1"/>
    <w:basedOn w:val="3"/>
    <w:next w:val="3"/>
    <w:qFormat/>
    <w:uiPriority w:val="0"/>
    <w:pPr>
      <w:ind w:left="200" w:leftChars="200" w:hanging="200" w:hangingChars="200"/>
    </w:pPr>
  </w:style>
  <w:style w:type="character" w:customStyle="1" w:styleId="32">
    <w:name w:val="标题 1 字符"/>
    <w:qFormat/>
    <w:uiPriority w:val="0"/>
    <w:rPr>
      <w:rFonts w:ascii="Times New Roman" w:eastAsia="宋体"/>
      <w:b/>
      <w:sz w:val="48"/>
      <w:szCs w:val="48"/>
    </w:rPr>
  </w:style>
  <w:style w:type="paragraph" w:styleId="33">
    <w:name w:val="List Paragraph"/>
    <w:basedOn w:val="1"/>
    <w:qFormat/>
    <w:uiPriority w:val="34"/>
    <w:pPr>
      <w:ind w:firstLine="420" w:firstLineChars="200"/>
    </w:pPr>
  </w:style>
  <w:style w:type="paragraph" w:styleId="34">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35">
    <w:name w:val="Heading2"/>
    <w:basedOn w:val="1"/>
    <w:next w:val="1"/>
    <w:qFormat/>
    <w:uiPriority w:val="0"/>
    <w:pPr>
      <w:keepNext/>
      <w:keepLines/>
      <w:textAlignment w:val="baseline"/>
    </w:pPr>
    <w:rPr>
      <w:rFonts w:ascii="Arial" w:hAnsi="Arial" w:eastAsia="方正楷体简体" w:cs="Times New Roman"/>
      <w:bCs/>
      <w:sz w:val="32"/>
      <w:szCs w:val="32"/>
    </w:rPr>
  </w:style>
  <w:style w:type="character" w:customStyle="1" w:styleId="36">
    <w:name w:val="标题 1 Char"/>
    <w:link w:val="5"/>
    <w:qFormat/>
    <w:uiPriority w:val="0"/>
    <w:rPr>
      <w:rFonts w:ascii="Arial" w:hAnsi="Arial" w:eastAsia="方正小标宋简体"/>
      <w:bCs/>
      <w:kern w:val="44"/>
      <w:sz w:val="44"/>
      <w:szCs w:val="44"/>
    </w:rPr>
  </w:style>
  <w:style w:type="character" w:customStyle="1" w:styleId="37">
    <w:name w:val="font01"/>
    <w:basedOn w:val="22"/>
    <w:qFormat/>
    <w:uiPriority w:val="0"/>
    <w:rPr>
      <w:rFonts w:hint="default" w:ascii="Times New Roman" w:hAnsi="Times New Roman" w:cs="Times New Roman"/>
      <w:color w:val="000000"/>
      <w:sz w:val="24"/>
      <w:szCs w:val="24"/>
      <w:u w:val="none"/>
    </w:rPr>
  </w:style>
  <w:style w:type="character" w:customStyle="1" w:styleId="38">
    <w:name w:val="font91"/>
    <w:basedOn w:val="22"/>
    <w:qFormat/>
    <w:uiPriority w:val="0"/>
    <w:rPr>
      <w:rFonts w:hint="eastAsia" w:ascii="仿宋_GB2312" w:eastAsia="仿宋_GB2312" w:cs="仿宋_GB2312"/>
      <w:color w:val="000000"/>
      <w:sz w:val="24"/>
      <w:szCs w:val="24"/>
      <w:u w:val="none"/>
    </w:rPr>
  </w:style>
  <w:style w:type="character" w:customStyle="1" w:styleId="39">
    <w:name w:val="font81"/>
    <w:basedOn w:val="22"/>
    <w:qFormat/>
    <w:uiPriority w:val="0"/>
    <w:rPr>
      <w:rFonts w:hint="eastAsia" w:ascii="仿宋_GB2312" w:eastAsia="仿宋_GB2312" w:cs="仿宋_GB2312"/>
      <w:color w:val="000000"/>
      <w:sz w:val="24"/>
      <w:szCs w:val="24"/>
      <w:u w:val="none"/>
    </w:rPr>
  </w:style>
  <w:style w:type="character" w:customStyle="1" w:styleId="40">
    <w:name w:val="font71"/>
    <w:basedOn w:val="22"/>
    <w:qFormat/>
    <w:uiPriority w:val="0"/>
    <w:rPr>
      <w:rFonts w:hint="eastAsia" w:ascii="仿宋_GB2312" w:eastAsia="仿宋_GB2312" w:cs="仿宋_GB2312"/>
      <w:b/>
      <w:color w:val="000000"/>
      <w:sz w:val="24"/>
      <w:szCs w:val="24"/>
      <w:u w:val="none"/>
    </w:rPr>
  </w:style>
  <w:style w:type="character" w:customStyle="1" w:styleId="41">
    <w:name w:val="font51"/>
    <w:basedOn w:val="22"/>
    <w:qFormat/>
    <w:uiPriority w:val="0"/>
    <w:rPr>
      <w:rFonts w:hint="default" w:ascii="Times New Roman" w:hAnsi="Times New Roman" w:cs="Times New Roman"/>
      <w:b/>
      <w:color w:val="000000"/>
      <w:sz w:val="24"/>
      <w:szCs w:val="24"/>
      <w:u w:val="none"/>
    </w:rPr>
  </w:style>
  <w:style w:type="character" w:customStyle="1" w:styleId="42">
    <w:name w:val="font101"/>
    <w:basedOn w:val="22"/>
    <w:qFormat/>
    <w:uiPriority w:val="0"/>
    <w:rPr>
      <w:rFonts w:hint="eastAsia" w:ascii="仿宋_GB2312" w:eastAsia="仿宋_GB2312" w:cs="仿宋_GB2312"/>
      <w:b/>
      <w:color w:val="000000"/>
      <w:sz w:val="24"/>
      <w:szCs w:val="24"/>
      <w:u w:val="none"/>
    </w:rPr>
  </w:style>
  <w:style w:type="character" w:customStyle="1" w:styleId="43">
    <w:name w:val="font112"/>
    <w:basedOn w:val="22"/>
    <w:qFormat/>
    <w:uiPriority w:val="0"/>
    <w:rPr>
      <w:rFonts w:hint="eastAsia" w:ascii="宋体" w:hAnsi="宋体" w:eastAsia="宋体" w:cs="宋体"/>
      <w:color w:val="000000"/>
      <w:sz w:val="24"/>
      <w:szCs w:val="24"/>
      <w:u w:val="none"/>
    </w:rPr>
  </w:style>
  <w:style w:type="character" w:customStyle="1" w:styleId="44">
    <w:name w:val="font121"/>
    <w:basedOn w:val="22"/>
    <w:qFormat/>
    <w:uiPriority w:val="0"/>
    <w:rPr>
      <w:rFonts w:hint="eastAsia" w:ascii="仿宋_GB2312" w:eastAsia="仿宋_GB2312" w:cs="仿宋_GB2312"/>
      <w:b/>
      <w:color w:val="000000"/>
      <w:sz w:val="24"/>
      <w:szCs w:val="24"/>
      <w:u w:val="none"/>
    </w:rPr>
  </w:style>
  <w:style w:type="character" w:customStyle="1" w:styleId="45">
    <w:name w:val="font131"/>
    <w:basedOn w:val="22"/>
    <w:qFormat/>
    <w:uiPriority w:val="0"/>
    <w:rPr>
      <w:rFonts w:hint="eastAsia" w:ascii="宋体" w:hAnsi="宋体" w:eastAsia="宋体" w:cs="宋体"/>
      <w:color w:val="000000"/>
      <w:sz w:val="24"/>
      <w:szCs w:val="24"/>
      <w:u w:val="none"/>
    </w:rPr>
  </w:style>
  <w:style w:type="paragraph" w:customStyle="1" w:styleId="46">
    <w:name w:val="正文缩进1"/>
    <w:basedOn w:val="1"/>
    <w:qFormat/>
    <w:uiPriority w:val="0"/>
    <w:pPr>
      <w:ind w:firstLine="420"/>
    </w:pPr>
    <w:rPr>
      <w:rFonts w:ascii="Times New Roman" w:hAnsi="Times New Roman" w:eastAsia="宋体" w:cs="Times New Roman"/>
    </w:rPr>
  </w:style>
  <w:style w:type="paragraph" w:customStyle="1" w:styleId="47">
    <w:name w:val="5 正文"/>
    <w:basedOn w:val="1"/>
    <w:qFormat/>
    <w:uiPriority w:val="0"/>
    <w:pPr>
      <w:adjustRightInd w:val="0"/>
      <w:snapToGrid w:val="0"/>
      <w:spacing w:line="360" w:lineRule="auto"/>
      <w:ind w:firstLine="200" w:firstLineChars="200"/>
    </w:pPr>
    <w:rPr>
      <w:rFonts w:ascii="宋体" w:hAnsi="宋体" w:cs="宋体"/>
      <w:kern w:val="0"/>
      <w:sz w:val="28"/>
      <w:szCs w:val="28"/>
      <w:lang w:val="zh-CN"/>
    </w:rPr>
  </w:style>
  <w:style w:type="paragraph" w:customStyle="1" w:styleId="48">
    <w:name w:val="样式 左侧:  1 字符 首行缩进:  1 字符"/>
    <w:basedOn w:val="1"/>
    <w:qFormat/>
    <w:uiPriority w:val="0"/>
    <w:pPr>
      <w:ind w:left="200" w:leftChars="200" w:firstLine="200" w:firstLineChars="200"/>
    </w:pPr>
    <w:rPr>
      <w:rFonts w:ascii="Times New Roman" w:hAnsi="Times New Roman" w:cs="宋体"/>
      <w:sz w:val="28"/>
      <w:szCs w:val="20"/>
    </w:rPr>
  </w:style>
  <w:style w:type="character" w:customStyle="1" w:styleId="49">
    <w:name w:val="批注框文本 Char"/>
    <w:basedOn w:val="22"/>
    <w:link w:val="1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普洱市直属党政机关单位</Company>
  <Pages>33</Pages>
  <Words>23128</Words>
  <Characters>2479</Characters>
  <Lines>20</Lines>
  <Paragraphs>51</Paragraphs>
  <TotalTime>27</TotalTime>
  <ScaleCrop>false</ScaleCrop>
  <LinksUpToDate>false</LinksUpToDate>
  <CharactersWithSpaces>25556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2023-04-04T10:09:00Z</dcterms:created>
  <dc:creator>李莉瑶</dc:creator>
  <cp:lastModifiedBy>冬月</cp:lastModifiedBy>
  <cp:lastPrinted>2023-04-20T08:06:00Z</cp:lastPrinted>
  <dcterms:modified xsi:type="dcterms:W3CDTF">2023-04-27T04:17:08Z</dcterms:modified>
  <dc:title>2023年重点招商引资项目汇总表 思茅区（11个/总126个）</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BE9E748C0E5D42A1ADFC40DD0C5340CE</vt:lpwstr>
  </property>
</Properties>
</file>